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D" w:rsidRPr="00C90E3F" w:rsidRDefault="009D3BBE" w:rsidP="00C4126F">
      <w:pPr>
        <w:spacing w:after="120"/>
        <w:jc w:val="center"/>
        <w:rPr>
          <w:rFonts w:eastAsia="Times New Roman" w:cs="Times New Roman"/>
          <w:b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sz w:val="24"/>
          <w:szCs w:val="24"/>
          <w:lang w:val="es-ES"/>
        </w:rPr>
        <w:t>TÉ</w:t>
      </w:r>
      <w:r w:rsidR="00FE141D" w:rsidRPr="00C90E3F">
        <w:rPr>
          <w:rFonts w:eastAsia="Times New Roman" w:cs="Times New Roman"/>
          <w:b/>
          <w:sz w:val="24"/>
          <w:szCs w:val="24"/>
          <w:lang w:val="es-ES"/>
        </w:rPr>
        <w:t>RMINOS Y CONDICIONES DE COMPRA</w:t>
      </w:r>
    </w:p>
    <w:p w:rsidR="009F6620" w:rsidRPr="00C90E3F" w:rsidRDefault="009F6620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</w:p>
    <w:p w:rsidR="00FE141D" w:rsidRPr="00C90E3F" w:rsidRDefault="009F6620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1. </w:t>
      </w:r>
      <w:r w:rsidR="00FE141D" w:rsidRPr="00C90E3F">
        <w:rPr>
          <w:rFonts w:eastAsia="Times New Roman" w:cs="Times New Roman"/>
          <w:b/>
          <w:caps/>
          <w:sz w:val="24"/>
          <w:szCs w:val="24"/>
          <w:lang w:val="es-ES"/>
        </w:rPr>
        <w:t>Información general</w:t>
      </w:r>
    </w:p>
    <w:p w:rsidR="00EA5752" w:rsidRPr="00C90E3F" w:rsidRDefault="00EA575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Los presentes Términos y Condiciones regula</w:t>
      </w:r>
      <w:r w:rsidR="00C12616" w:rsidRPr="00C90E3F">
        <w:rPr>
          <w:rFonts w:eastAsia="Times New Roman" w:cs="Times New Roman"/>
          <w:sz w:val="24"/>
          <w:szCs w:val="24"/>
          <w:lang w:val="es-ES"/>
        </w:rPr>
        <w:t>n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el servicio </w:t>
      </w:r>
      <w:r w:rsidR="000C36EA" w:rsidRPr="00C90E3F">
        <w:rPr>
          <w:rFonts w:eastAsia="Times New Roman" w:cs="Times New Roman"/>
          <w:sz w:val="24"/>
          <w:szCs w:val="24"/>
          <w:lang w:val="es-ES"/>
        </w:rPr>
        <w:t xml:space="preserve">de gestión </w:t>
      </w:r>
      <w:r w:rsidR="00EF49DA" w:rsidRPr="00C90E3F">
        <w:rPr>
          <w:rFonts w:eastAsia="Times New Roman" w:cs="Times New Roman"/>
          <w:sz w:val="24"/>
          <w:szCs w:val="24"/>
          <w:lang w:val="es-ES"/>
        </w:rPr>
        <w:t xml:space="preserve">y explotación </w:t>
      </w:r>
      <w:r w:rsidR="000C36EA" w:rsidRPr="00C90E3F">
        <w:rPr>
          <w:rFonts w:eastAsia="Times New Roman" w:cs="Times New Roman"/>
          <w:sz w:val="24"/>
          <w:szCs w:val="24"/>
          <w:lang w:val="es-ES"/>
        </w:rPr>
        <w:t xml:space="preserve">de aparcamientos, </w:t>
      </w:r>
      <w:r w:rsidRPr="00C90E3F">
        <w:rPr>
          <w:rFonts w:eastAsia="Times New Roman" w:cs="Times New Roman"/>
          <w:sz w:val="24"/>
          <w:szCs w:val="24"/>
          <w:lang w:val="es-ES"/>
        </w:rPr>
        <w:t>por el que</w:t>
      </w:r>
      <w:r w:rsidR="00E75E43" w:rsidRPr="00C90E3F">
        <w:rPr>
          <w:rFonts w:eastAsia="Times New Roman" w:cs="Times New Roman"/>
          <w:sz w:val="24"/>
          <w:szCs w:val="24"/>
          <w:lang w:val="es-ES"/>
        </w:rPr>
        <w:t xml:space="preserve"> las empresas del Grupo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B17A4D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="00E75E43" w:rsidRPr="00C90E3F">
        <w:rPr>
          <w:rFonts w:eastAsia="Times New Roman" w:cs="Times New Roman"/>
          <w:sz w:val="24"/>
          <w:szCs w:val="24"/>
          <w:lang w:val="es-ES"/>
        </w:rPr>
        <w:t xml:space="preserve"> identificadas en el </w:t>
      </w:r>
      <w:r w:rsidR="00E75E43" w:rsidRPr="00C90E3F">
        <w:rPr>
          <w:rFonts w:eastAsia="Times New Roman" w:cs="Times New Roman"/>
          <w:b/>
          <w:sz w:val="24"/>
          <w:szCs w:val="24"/>
          <w:lang w:val="es-ES"/>
        </w:rPr>
        <w:t>Anexo 1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E75E43" w:rsidRPr="00C90E3F">
        <w:rPr>
          <w:rFonts w:eastAsia="Times New Roman" w:cs="Times New Roman"/>
          <w:sz w:val="24"/>
          <w:szCs w:val="24"/>
          <w:lang w:val="es-ES"/>
        </w:rPr>
        <w:t>(en adelante, “</w:t>
      </w:r>
      <w:r w:rsidR="00E75E43" w:rsidRPr="00C90E3F">
        <w:rPr>
          <w:rFonts w:eastAsia="Times New Roman" w:cs="Times New Roman"/>
          <w:b/>
          <w:sz w:val="24"/>
          <w:szCs w:val="24"/>
          <w:lang w:val="es-ES"/>
        </w:rPr>
        <w:t>SABA</w:t>
      </w:r>
      <w:r w:rsidR="00E75E43" w:rsidRPr="00C90E3F">
        <w:rPr>
          <w:rFonts w:eastAsia="Times New Roman" w:cs="Times New Roman"/>
          <w:sz w:val="24"/>
          <w:szCs w:val="24"/>
          <w:lang w:val="es-ES"/>
        </w:rPr>
        <w:t xml:space="preserve">”), </w:t>
      </w:r>
      <w:r w:rsidRPr="00C90E3F">
        <w:rPr>
          <w:rFonts w:eastAsia="Times New Roman" w:cs="Times New Roman"/>
          <w:sz w:val="24"/>
          <w:szCs w:val="24"/>
          <w:lang w:val="es-ES"/>
        </w:rPr>
        <w:t>pone a disposición de</w:t>
      </w:r>
      <w:r w:rsidR="00B5193C" w:rsidRPr="00C90E3F">
        <w:rPr>
          <w:rFonts w:eastAsia="Times New Roman" w:cs="Times New Roman"/>
          <w:sz w:val="24"/>
          <w:szCs w:val="24"/>
          <w:lang w:val="es-ES"/>
        </w:rPr>
        <w:t xml:space="preserve"> Particulares, Comercios y Empresas (en adelante, los “</w:t>
      </w:r>
      <w:r w:rsidR="00B5193C" w:rsidRPr="00C90E3F">
        <w:rPr>
          <w:rFonts w:eastAsia="Times New Roman" w:cs="Times New Roman"/>
          <w:b/>
          <w:sz w:val="24"/>
          <w:szCs w:val="24"/>
          <w:lang w:val="es-ES"/>
        </w:rPr>
        <w:t>Clientes</w:t>
      </w:r>
      <w:r w:rsidR="00B5193C" w:rsidRPr="00C90E3F">
        <w:rPr>
          <w:rFonts w:eastAsia="Times New Roman" w:cs="Times New Roman"/>
          <w:sz w:val="24"/>
          <w:szCs w:val="24"/>
          <w:lang w:val="es-ES"/>
        </w:rPr>
        <w:t>” o el “</w:t>
      </w:r>
      <w:r w:rsidRPr="00C90E3F">
        <w:rPr>
          <w:rFonts w:eastAsia="Times New Roman" w:cs="Times New Roman"/>
          <w:b/>
          <w:sz w:val="24"/>
          <w:szCs w:val="24"/>
          <w:lang w:val="es-ES"/>
        </w:rPr>
        <w:t>Cliente</w:t>
      </w:r>
      <w:r w:rsidR="00B5193C" w:rsidRPr="00C90E3F">
        <w:rPr>
          <w:rFonts w:eastAsia="Times New Roman" w:cs="Times New Roman"/>
          <w:sz w:val="24"/>
          <w:szCs w:val="24"/>
          <w:lang w:val="es-ES"/>
        </w:rPr>
        <w:t>”)</w:t>
      </w:r>
      <w:r w:rsidR="00810F59" w:rsidRPr="00C90E3F">
        <w:rPr>
          <w:rFonts w:eastAsia="Times New Roman" w:cs="Times New Roman"/>
          <w:sz w:val="24"/>
          <w:szCs w:val="24"/>
          <w:lang w:val="es-ES"/>
        </w:rPr>
        <w:t xml:space="preserve"> a través del Sitio Web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, para su contratación, los servicios suministrados por </w:t>
      </w:r>
      <w:r w:rsidR="00810F59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al </w:t>
      </w:r>
      <w:r w:rsidR="00CC3262" w:rsidRPr="00C90E3F">
        <w:rPr>
          <w:rFonts w:eastAsia="Times New Roman" w:cs="Times New Roman"/>
          <w:sz w:val="24"/>
          <w:szCs w:val="24"/>
          <w:lang w:val="es-ES"/>
        </w:rPr>
        <w:t>Cliente (en adelante, los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“</w:t>
      </w:r>
      <w:r w:rsidR="0031711F" w:rsidRPr="00C90E3F">
        <w:rPr>
          <w:rFonts w:eastAsia="Times New Roman" w:cs="Times New Roman"/>
          <w:b/>
          <w:sz w:val="24"/>
          <w:szCs w:val="24"/>
          <w:lang w:val="es-ES"/>
        </w:rPr>
        <w:t>Servicios</w:t>
      </w:r>
      <w:r w:rsidR="00CC3262" w:rsidRPr="00C90E3F">
        <w:rPr>
          <w:rFonts w:eastAsia="Times New Roman" w:cs="Times New Roman"/>
          <w:sz w:val="24"/>
          <w:szCs w:val="24"/>
          <w:lang w:val="es-ES"/>
        </w:rPr>
        <w:t>”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) </w:t>
      </w:r>
      <w:r w:rsidR="00810F59" w:rsidRPr="00C90E3F">
        <w:rPr>
          <w:rFonts w:eastAsia="Times New Roman" w:cs="Times New Roman"/>
          <w:sz w:val="24"/>
          <w:szCs w:val="24"/>
          <w:lang w:val="es-ES"/>
        </w:rPr>
        <w:t>y que vienen descritos</w:t>
      </w:r>
      <w:r w:rsidR="007923A2" w:rsidRPr="00C90E3F">
        <w:rPr>
          <w:rFonts w:eastAsia="Times New Roman" w:cs="Times New Roman"/>
          <w:sz w:val="24"/>
          <w:szCs w:val="24"/>
          <w:lang w:val="es-ES"/>
        </w:rPr>
        <w:t xml:space="preserve"> en el Sitio Web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. </w:t>
      </w:r>
    </w:p>
    <w:p w:rsidR="009A6736" w:rsidRPr="00C90E3F" w:rsidRDefault="00E75E43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E0036E">
        <w:rPr>
          <w:rFonts w:eastAsia="Times New Roman" w:cs="Times New Roman"/>
          <w:sz w:val="24"/>
          <w:szCs w:val="24"/>
          <w:lang w:val="es-ES"/>
        </w:rPr>
        <w:t xml:space="preserve">En el </w:t>
      </w:r>
      <w:r w:rsidRPr="00E0036E">
        <w:rPr>
          <w:rFonts w:eastAsia="Times New Roman" w:cs="Times New Roman"/>
          <w:b/>
          <w:sz w:val="24"/>
          <w:szCs w:val="24"/>
          <w:lang w:val="es-ES"/>
        </w:rPr>
        <w:t>Anexo 1</w:t>
      </w:r>
      <w:r w:rsidRPr="00E0036E">
        <w:rPr>
          <w:rFonts w:eastAsia="Times New Roman" w:cs="Times New Roman"/>
          <w:sz w:val="24"/>
          <w:szCs w:val="24"/>
          <w:lang w:val="es-ES"/>
        </w:rPr>
        <w:t xml:space="preserve"> se adjunta la identificación de la compañía con la que el Cliente contrata en función de la ubicación del </w:t>
      </w:r>
      <w:r w:rsidR="00527C00" w:rsidRPr="00E0036E">
        <w:rPr>
          <w:rFonts w:eastAsia="Times New Roman" w:cs="Times New Roman"/>
          <w:sz w:val="24"/>
          <w:szCs w:val="24"/>
          <w:lang w:val="es-ES"/>
        </w:rPr>
        <w:t>aparcamiento</w:t>
      </w:r>
      <w:r w:rsidR="00DA3782" w:rsidRPr="00E0036E">
        <w:rPr>
          <w:rFonts w:eastAsia="Times New Roman" w:cs="Times New Roman"/>
          <w:sz w:val="24"/>
          <w:szCs w:val="24"/>
          <w:lang w:val="es-ES"/>
        </w:rPr>
        <w:t xml:space="preserve">, que será a su vez la responsable de los datos personales facilitados por el usuario junto con la sociedad </w:t>
      </w:r>
      <w:r w:rsidR="00795F83">
        <w:rPr>
          <w:rFonts w:eastAsia="Times New Roman" w:cs="Times New Roman"/>
          <w:sz w:val="24"/>
          <w:szCs w:val="24"/>
          <w:lang w:val="es-ES"/>
        </w:rPr>
        <w:t>Saba Estacionamientos de Chile</w:t>
      </w:r>
      <w:r w:rsidR="00795F83" w:rsidRPr="00E0036E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DA3782" w:rsidRPr="00E0036E">
        <w:rPr>
          <w:rFonts w:eastAsia="Times New Roman" w:cs="Times New Roman"/>
          <w:sz w:val="24"/>
          <w:szCs w:val="24"/>
          <w:lang w:val="es-ES"/>
        </w:rPr>
        <w:t>S.A., titular de esta página web</w:t>
      </w:r>
      <w:r w:rsidR="004B0865" w:rsidRPr="00E0036E">
        <w:rPr>
          <w:rFonts w:eastAsia="Times New Roman" w:cs="Times New Roman"/>
          <w:sz w:val="24"/>
          <w:szCs w:val="24"/>
          <w:lang w:val="es-ES"/>
        </w:rPr>
        <w:t>.</w:t>
      </w:r>
    </w:p>
    <w:p w:rsidR="00F75621" w:rsidRPr="00C90E3F" w:rsidRDefault="00F75621" w:rsidP="00C4126F">
      <w:pPr>
        <w:spacing w:after="120"/>
        <w:jc w:val="both"/>
        <w:rPr>
          <w:rFonts w:cs="Georgia"/>
          <w:iCs/>
          <w:color w:val="000000"/>
          <w:sz w:val="24"/>
          <w:szCs w:val="24"/>
          <w:lang w:val="es-ES"/>
        </w:rPr>
      </w:pPr>
      <w:r w:rsidRPr="00C90E3F">
        <w:rPr>
          <w:rFonts w:cs="Georgia"/>
          <w:iCs/>
          <w:color w:val="000000"/>
          <w:sz w:val="24"/>
          <w:szCs w:val="24"/>
          <w:lang w:val="es-ES"/>
        </w:rPr>
        <w:t>La compra</w:t>
      </w:r>
      <w:r w:rsidR="00EF49DA" w:rsidRPr="00C90E3F">
        <w:rPr>
          <w:rFonts w:cs="Georgia"/>
          <w:iCs/>
          <w:color w:val="000000"/>
          <w:sz w:val="24"/>
          <w:szCs w:val="24"/>
          <w:lang w:val="es-ES"/>
        </w:rPr>
        <w:t xml:space="preserve"> </w:t>
      </w:r>
      <w:r w:rsidR="00810F59" w:rsidRPr="00C90E3F">
        <w:rPr>
          <w:rFonts w:cs="Georgia"/>
          <w:iCs/>
          <w:color w:val="000000"/>
          <w:sz w:val="24"/>
          <w:szCs w:val="24"/>
          <w:lang w:val="es-ES"/>
        </w:rPr>
        <w:t xml:space="preserve">de los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="00EF49DA" w:rsidRPr="00C90E3F">
        <w:rPr>
          <w:rFonts w:cs="Georgia"/>
          <w:iCs/>
          <w:color w:val="000000"/>
          <w:sz w:val="24"/>
          <w:szCs w:val="24"/>
          <w:lang w:val="es-ES"/>
        </w:rPr>
        <w:t xml:space="preserve"> 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implica </w:t>
      </w:r>
      <w:r w:rsidR="00810F59" w:rsidRPr="00C90E3F">
        <w:rPr>
          <w:rFonts w:cs="Georgia"/>
          <w:iCs/>
          <w:color w:val="000000"/>
          <w:sz w:val="24"/>
          <w:szCs w:val="24"/>
          <w:lang w:val="es-ES"/>
        </w:rPr>
        <w:t>la aceptación de los presentes Términos y C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ondiciones así como el resto de condiciones a las que está sujeto el Cliente, y en particular el Aviso Legal </w:t>
      </w:r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>[</w:t>
      </w:r>
      <w:r w:rsidRPr="00C90E3F">
        <w:rPr>
          <w:rFonts w:cs="Georgia"/>
          <w:b/>
          <w:bCs/>
          <w:iCs/>
          <w:color w:val="000000"/>
          <w:sz w:val="24"/>
          <w:szCs w:val="24"/>
          <w:highlight w:val="yellow"/>
          <w:lang w:val="es-ES"/>
        </w:rPr>
        <w:t>Nota</w:t>
      </w:r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 xml:space="preserve">: incluir link </w:t>
      </w:r>
      <w:proofErr w:type="spellStart"/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>redireccionando</w:t>
      </w:r>
      <w:proofErr w:type="spellEnd"/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 xml:space="preserve"> al mismo]</w:t>
      </w:r>
      <w:r w:rsidRPr="00C90E3F">
        <w:rPr>
          <w:rFonts w:cs="Georgia"/>
          <w:color w:val="000000"/>
          <w:sz w:val="24"/>
          <w:szCs w:val="24"/>
          <w:lang w:val="es-ES"/>
        </w:rPr>
        <w:t xml:space="preserve"> y la Política de Privacidad</w:t>
      </w:r>
      <w:r w:rsidR="0028762E" w:rsidRPr="00C90E3F">
        <w:rPr>
          <w:rFonts w:cs="Georgia"/>
          <w:color w:val="000000"/>
          <w:sz w:val="24"/>
          <w:szCs w:val="24"/>
          <w:lang w:val="es-ES"/>
        </w:rPr>
        <w:t xml:space="preserve"> y Política de Cookies</w:t>
      </w:r>
      <w:r w:rsidRPr="00C90E3F">
        <w:rPr>
          <w:rFonts w:cs="Georgia"/>
          <w:color w:val="000000"/>
          <w:sz w:val="24"/>
          <w:szCs w:val="24"/>
          <w:lang w:val="es-ES"/>
        </w:rPr>
        <w:t xml:space="preserve"> </w:t>
      </w:r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>[</w:t>
      </w:r>
      <w:r w:rsidRPr="00C90E3F">
        <w:rPr>
          <w:rFonts w:cs="Georgia"/>
          <w:b/>
          <w:bCs/>
          <w:iCs/>
          <w:color w:val="000000"/>
          <w:sz w:val="24"/>
          <w:szCs w:val="24"/>
          <w:highlight w:val="yellow"/>
          <w:lang w:val="es-ES"/>
        </w:rPr>
        <w:t>Nota</w:t>
      </w:r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 xml:space="preserve">: incluir link </w:t>
      </w:r>
      <w:proofErr w:type="spellStart"/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>redireccionando</w:t>
      </w:r>
      <w:proofErr w:type="spellEnd"/>
      <w:r w:rsidRPr="00C90E3F">
        <w:rPr>
          <w:rFonts w:cs="Georgia"/>
          <w:iCs/>
          <w:color w:val="000000"/>
          <w:sz w:val="24"/>
          <w:szCs w:val="24"/>
          <w:highlight w:val="yellow"/>
          <w:lang w:val="es-ES"/>
        </w:rPr>
        <w:t xml:space="preserve"> al mismo]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>.</w:t>
      </w:r>
    </w:p>
    <w:p w:rsidR="00CC3262" w:rsidRPr="00C90E3F" w:rsidRDefault="00FE141D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Si </w:t>
      </w:r>
      <w:r w:rsidR="004445A6" w:rsidRPr="00C90E3F">
        <w:rPr>
          <w:rFonts w:eastAsia="Times New Roman" w:cs="Times New Roman"/>
          <w:sz w:val="24"/>
          <w:szCs w:val="24"/>
          <w:lang w:val="es-ES"/>
        </w:rPr>
        <w:t xml:space="preserve">el Cliente 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desea contactar con </w:t>
      </w:r>
      <w:r w:rsidR="00B17A4D" w:rsidRPr="00C90E3F">
        <w:rPr>
          <w:rFonts w:eastAsia="Times New Roman" w:cs="Times New Roman"/>
          <w:bCs/>
          <w:sz w:val="24"/>
          <w:szCs w:val="24"/>
          <w:lang w:val="es-ES"/>
        </w:rPr>
        <w:t>SABA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BD5184" w:rsidRPr="00C90E3F">
        <w:rPr>
          <w:rFonts w:eastAsia="Times New Roman" w:cs="Times New Roman"/>
          <w:sz w:val="24"/>
          <w:szCs w:val="24"/>
          <w:lang w:val="es-ES"/>
        </w:rPr>
        <w:t xml:space="preserve">para cualquier duda o incidencia con su compra, </w:t>
      </w:r>
      <w:r w:rsidRPr="00C90E3F">
        <w:rPr>
          <w:rFonts w:eastAsia="Times New Roman" w:cs="Times New Roman"/>
          <w:sz w:val="24"/>
          <w:szCs w:val="24"/>
          <w:lang w:val="es-ES"/>
        </w:rPr>
        <w:t>puede utilizar la dirección de correo postal indicada</w:t>
      </w:r>
      <w:r w:rsidR="009A6736" w:rsidRPr="00C90E3F">
        <w:rPr>
          <w:rFonts w:eastAsia="Times New Roman" w:cs="Times New Roman"/>
          <w:sz w:val="24"/>
          <w:szCs w:val="24"/>
          <w:lang w:val="es-ES"/>
        </w:rPr>
        <w:t>s en el</w:t>
      </w:r>
      <w:r w:rsidR="009A6736" w:rsidRPr="00C90E3F">
        <w:rPr>
          <w:rFonts w:eastAsia="Times New Roman" w:cs="Times New Roman"/>
          <w:b/>
          <w:sz w:val="24"/>
          <w:szCs w:val="24"/>
          <w:lang w:val="es-ES"/>
        </w:rPr>
        <w:t xml:space="preserve"> Anexo 1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, a través del número de teléfono </w:t>
      </w:r>
      <w:r w:rsidR="00795F83">
        <w:rPr>
          <w:rFonts w:eastAsia="Times New Roman" w:cs="Times New Roman"/>
          <w:sz w:val="24"/>
          <w:szCs w:val="24"/>
          <w:lang w:val="es-ES"/>
        </w:rPr>
        <w:t>226809000</w:t>
      </w:r>
      <w:r w:rsidR="00795F83" w:rsidRPr="006C51DC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6C51DC">
        <w:rPr>
          <w:rFonts w:eastAsia="Times New Roman" w:cs="Times New Roman"/>
          <w:sz w:val="24"/>
          <w:szCs w:val="24"/>
          <w:lang w:val="es-ES"/>
        </w:rPr>
        <w:t>o si lo prefiere a través del correo electrónico en la dirección</w:t>
      </w:r>
      <w:r w:rsidR="006C51DC" w:rsidRPr="006C51DC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8279E0">
        <w:rPr>
          <w:rFonts w:eastAsia="Times New Roman" w:cs="Times New Roman"/>
          <w:sz w:val="24"/>
          <w:szCs w:val="24"/>
          <w:lang w:val="es-ES"/>
        </w:rPr>
        <w:t>ventas@saba-chile.cl</w:t>
      </w:r>
      <w:r w:rsidR="002E1A27">
        <w:rPr>
          <w:rFonts w:eastAsia="Times New Roman" w:cs="Times New Roman"/>
          <w:sz w:val="24"/>
          <w:szCs w:val="24"/>
          <w:lang w:val="es-ES"/>
        </w:rPr>
        <w:t>.</w:t>
      </w:r>
    </w:p>
    <w:p w:rsidR="00B17A4D" w:rsidRPr="00C90E3F" w:rsidRDefault="00CC3262" w:rsidP="00C4126F">
      <w:pPr>
        <w:spacing w:after="120"/>
        <w:jc w:val="both"/>
        <w:rPr>
          <w:rFonts w:eastAsia="Times New Roman" w:cs="Arial"/>
          <w:sz w:val="24"/>
          <w:szCs w:val="24"/>
          <w:lang w:val="es-ES"/>
        </w:rPr>
      </w:pPr>
      <w:r w:rsidRPr="00C90E3F">
        <w:rPr>
          <w:rFonts w:eastAsia="Times New Roman" w:cs="Arial"/>
          <w:sz w:val="24"/>
          <w:szCs w:val="24"/>
          <w:lang w:val="es-ES"/>
        </w:rPr>
        <w:t>Estos Términos y Condiciones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son aplicables a partir de su publicación en Internet y no podrán aplicarse a los contratos concluidos anteriormente. Cada contratación en la página W</w:t>
      </w:r>
      <w:r w:rsidRPr="00C90E3F">
        <w:rPr>
          <w:rFonts w:eastAsia="Times New Roman" w:cs="Arial"/>
          <w:sz w:val="24"/>
          <w:szCs w:val="24"/>
          <w:lang w:val="es-ES"/>
        </w:rPr>
        <w:t xml:space="preserve">eb se rige por los Términos y Condiciones 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aplicables en la fecha de la </w:t>
      </w:r>
      <w:r w:rsidR="00527C00" w:rsidRPr="00C90E3F">
        <w:rPr>
          <w:rFonts w:eastAsia="Times New Roman" w:cs="Arial"/>
          <w:sz w:val="24"/>
          <w:szCs w:val="24"/>
          <w:lang w:val="es-ES"/>
        </w:rPr>
        <w:t>compra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y pago del </w:t>
      </w:r>
      <w:r w:rsidR="0008224E" w:rsidRPr="00C90E3F">
        <w:rPr>
          <w:rFonts w:eastAsia="Times New Roman" w:cs="Arial"/>
          <w:sz w:val="24"/>
          <w:szCs w:val="24"/>
          <w:lang w:val="es-ES"/>
        </w:rPr>
        <w:t>S</w:t>
      </w:r>
      <w:r w:rsidR="00B17A4D" w:rsidRPr="00C90E3F">
        <w:rPr>
          <w:rFonts w:eastAsia="Times New Roman" w:cs="Arial"/>
          <w:sz w:val="24"/>
          <w:szCs w:val="24"/>
          <w:lang w:val="es-ES"/>
        </w:rPr>
        <w:t>ervicio contratado</w:t>
      </w:r>
      <w:r w:rsidRPr="00C90E3F">
        <w:rPr>
          <w:rFonts w:eastAsia="Times New Roman" w:cs="Arial"/>
          <w:sz w:val="24"/>
          <w:szCs w:val="24"/>
          <w:lang w:val="es-ES"/>
        </w:rPr>
        <w:t xml:space="preserve">. 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Para ello, es conveniente que </w:t>
      </w:r>
      <w:r w:rsidRPr="00C90E3F">
        <w:rPr>
          <w:rFonts w:eastAsia="Times New Roman" w:cs="Arial"/>
          <w:sz w:val="24"/>
          <w:szCs w:val="24"/>
          <w:lang w:val="es-ES"/>
        </w:rPr>
        <w:t xml:space="preserve">los Clientes </w:t>
      </w:r>
      <w:r w:rsidR="00B17A4D" w:rsidRPr="00C90E3F">
        <w:rPr>
          <w:rFonts w:eastAsia="Times New Roman" w:cs="Arial"/>
          <w:sz w:val="24"/>
          <w:szCs w:val="24"/>
          <w:lang w:val="es-ES"/>
        </w:rPr>
        <w:t>lean</w:t>
      </w:r>
      <w:r w:rsidRPr="00C90E3F">
        <w:rPr>
          <w:rFonts w:eastAsia="Times New Roman" w:cs="Arial"/>
          <w:sz w:val="24"/>
          <w:szCs w:val="24"/>
          <w:lang w:val="es-ES"/>
        </w:rPr>
        <w:t xml:space="preserve"> los Términos y Condiciones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antes de utilizar </w:t>
      </w:r>
      <w:r w:rsidRPr="00C90E3F">
        <w:rPr>
          <w:rFonts w:eastAsia="Times New Roman" w:cs="Arial"/>
          <w:sz w:val="24"/>
          <w:szCs w:val="24"/>
          <w:lang w:val="es-ES"/>
        </w:rPr>
        <w:t xml:space="preserve">y/o contratar alguno de los </w:t>
      </w:r>
      <w:r w:rsidR="0031711F" w:rsidRPr="00C90E3F">
        <w:rPr>
          <w:rFonts w:eastAsia="Times New Roman" w:cs="Arial"/>
          <w:sz w:val="24"/>
          <w:szCs w:val="24"/>
          <w:lang w:val="es-ES"/>
        </w:rPr>
        <w:t>Servicios</w:t>
      </w:r>
      <w:r w:rsidRPr="00C90E3F">
        <w:rPr>
          <w:rFonts w:eastAsia="Times New Roman" w:cs="Arial"/>
          <w:sz w:val="24"/>
          <w:szCs w:val="24"/>
          <w:lang w:val="es-ES"/>
        </w:rPr>
        <w:t>, lo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s cuales estarán presentes en todo momento en </w:t>
      </w:r>
      <w:r w:rsidR="002E1A27">
        <w:rPr>
          <w:rFonts w:eastAsia="Times New Roman" w:cs="Arial"/>
          <w:sz w:val="24"/>
          <w:szCs w:val="24"/>
          <w:lang w:val="es-ES"/>
        </w:rPr>
        <w:t>español</w:t>
      </w:r>
      <w:r w:rsidR="00B17A4D" w:rsidRPr="00C90E3F">
        <w:rPr>
          <w:rFonts w:eastAsia="Times New Roman" w:cs="Arial"/>
          <w:sz w:val="24"/>
          <w:szCs w:val="24"/>
          <w:lang w:val="es-ES"/>
        </w:rPr>
        <w:t>, en la sección en la que está disponible en el Sitio Web. Como prueba del conocimiento</w:t>
      </w:r>
      <w:r w:rsidRPr="00C90E3F">
        <w:rPr>
          <w:rFonts w:eastAsia="Times New Roman" w:cs="Arial"/>
          <w:sz w:val="24"/>
          <w:szCs w:val="24"/>
          <w:lang w:val="es-ES"/>
        </w:rPr>
        <w:t xml:space="preserve"> y aceptación de los mismos, el Cliente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</w:t>
      </w:r>
      <w:r w:rsidR="00811DCC" w:rsidRPr="00C90E3F">
        <w:rPr>
          <w:rFonts w:eastAsia="Times New Roman" w:cs="Arial"/>
          <w:sz w:val="24"/>
          <w:szCs w:val="24"/>
          <w:lang w:val="es-ES"/>
        </w:rPr>
        <w:t>deberá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pulsa</w:t>
      </w:r>
      <w:r w:rsidRPr="00C90E3F">
        <w:rPr>
          <w:rFonts w:eastAsia="Times New Roman" w:cs="Arial"/>
          <w:sz w:val="24"/>
          <w:szCs w:val="24"/>
          <w:lang w:val="es-ES"/>
        </w:rPr>
        <w:t xml:space="preserve">r el botón </w:t>
      </w:r>
      <w:r w:rsidRPr="00C90E3F">
        <w:rPr>
          <w:rFonts w:eastAsia="Times New Roman" w:cs="Arial"/>
          <w:i/>
          <w:sz w:val="24"/>
          <w:szCs w:val="24"/>
          <w:lang w:val="es-ES"/>
        </w:rPr>
        <w:t>“He leído y acepto lo</w:t>
      </w:r>
      <w:r w:rsidR="00B17A4D" w:rsidRPr="00C90E3F">
        <w:rPr>
          <w:rFonts w:eastAsia="Times New Roman" w:cs="Arial"/>
          <w:i/>
          <w:sz w:val="24"/>
          <w:szCs w:val="24"/>
          <w:lang w:val="es-ES"/>
        </w:rPr>
        <w:t xml:space="preserve">s </w:t>
      </w:r>
      <w:r w:rsidRPr="00C90E3F">
        <w:rPr>
          <w:rFonts w:eastAsia="Times New Roman" w:cs="Arial"/>
          <w:i/>
          <w:sz w:val="24"/>
          <w:szCs w:val="24"/>
          <w:lang w:val="es-ES"/>
        </w:rPr>
        <w:t>Términos y Condiciones de Compra</w:t>
      </w:r>
      <w:r w:rsidR="00C4126F" w:rsidRPr="00C90E3F">
        <w:rPr>
          <w:rFonts w:eastAsia="Times New Roman" w:cs="Arial"/>
          <w:i/>
          <w:sz w:val="24"/>
          <w:szCs w:val="24"/>
          <w:lang w:val="es-ES"/>
        </w:rPr>
        <w:t>”</w:t>
      </w:r>
      <w:r w:rsidR="00811DCC" w:rsidRPr="00C90E3F">
        <w:rPr>
          <w:rFonts w:eastAsia="Times New Roman" w:cs="Arial"/>
          <w:i/>
          <w:sz w:val="24"/>
          <w:szCs w:val="24"/>
          <w:lang w:val="es-ES"/>
        </w:rPr>
        <w:t xml:space="preserve"> 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si está conforme, para, una vez seleccionados </w:t>
      </w:r>
      <w:r w:rsidRPr="00C90E3F">
        <w:rPr>
          <w:rFonts w:eastAsia="Times New Roman" w:cs="Arial"/>
          <w:sz w:val="24"/>
          <w:szCs w:val="24"/>
          <w:lang w:val="es-ES"/>
        </w:rPr>
        <w:t xml:space="preserve">el </w:t>
      </w:r>
      <w:r w:rsidR="0008224E" w:rsidRPr="00C90E3F">
        <w:rPr>
          <w:rFonts w:eastAsia="Times New Roman" w:cs="Arial"/>
          <w:sz w:val="24"/>
          <w:szCs w:val="24"/>
          <w:lang w:val="es-ES"/>
        </w:rPr>
        <w:t>Servicio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que desea adquirir, acceder a la pantalla de pago. Los trámites de </w:t>
      </w:r>
      <w:r w:rsidRPr="00C90E3F">
        <w:rPr>
          <w:rFonts w:eastAsia="Times New Roman" w:cs="Arial"/>
          <w:sz w:val="24"/>
          <w:szCs w:val="24"/>
          <w:lang w:val="es-ES"/>
        </w:rPr>
        <w:t>contratació</w:t>
      </w:r>
      <w:r w:rsidR="00B5168D">
        <w:rPr>
          <w:rFonts w:eastAsia="Times New Roman" w:cs="Arial"/>
          <w:sz w:val="24"/>
          <w:szCs w:val="24"/>
          <w:lang w:val="es-ES"/>
        </w:rPr>
        <w:t>n y/o</w:t>
      </w:r>
      <w:r w:rsidRPr="00C90E3F">
        <w:rPr>
          <w:rFonts w:eastAsia="Times New Roman" w:cs="Arial"/>
          <w:sz w:val="24"/>
          <w:szCs w:val="24"/>
          <w:lang w:val="es-ES"/>
        </w:rPr>
        <w:t xml:space="preserve"> utilización del </w:t>
      </w:r>
      <w:r w:rsidR="0008224E" w:rsidRPr="00C90E3F">
        <w:rPr>
          <w:rFonts w:eastAsia="Times New Roman" w:cs="Arial"/>
          <w:sz w:val="24"/>
          <w:szCs w:val="24"/>
          <w:lang w:val="es-ES"/>
        </w:rPr>
        <w:t>Servicio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son aquellos que</w:t>
      </w:r>
      <w:r w:rsidRPr="00C90E3F">
        <w:rPr>
          <w:rFonts w:eastAsia="Times New Roman" w:cs="Arial"/>
          <w:sz w:val="24"/>
          <w:szCs w:val="24"/>
          <w:lang w:val="es-ES"/>
        </w:rPr>
        <w:t xml:space="preserve"> se describen en los presentes Términos y Condiciones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, así como aquellos otros específicos que se indiquen en pantalla durante la navegación, de manera que el </w:t>
      </w:r>
      <w:r w:rsidRPr="00C90E3F">
        <w:rPr>
          <w:rFonts w:eastAsia="Times New Roman" w:cs="Arial"/>
          <w:sz w:val="24"/>
          <w:szCs w:val="24"/>
          <w:lang w:val="es-ES"/>
        </w:rPr>
        <w:t>Cliente</w:t>
      </w:r>
      <w:r w:rsidR="00B17A4D" w:rsidRPr="00C90E3F">
        <w:rPr>
          <w:rFonts w:eastAsia="Times New Roman" w:cs="Arial"/>
          <w:sz w:val="24"/>
          <w:szCs w:val="24"/>
          <w:lang w:val="es-ES"/>
        </w:rPr>
        <w:t xml:space="preserve"> declara conocer y aceptar dichos trámites co</w:t>
      </w:r>
      <w:r w:rsidRPr="00C90E3F">
        <w:rPr>
          <w:rFonts w:eastAsia="Times New Roman" w:cs="Arial"/>
          <w:sz w:val="24"/>
          <w:szCs w:val="24"/>
          <w:lang w:val="es-ES"/>
        </w:rPr>
        <w:t xml:space="preserve">mo necesarios para contratar el </w:t>
      </w:r>
      <w:r w:rsidR="0008224E" w:rsidRPr="00C90E3F">
        <w:rPr>
          <w:rFonts w:eastAsia="Times New Roman" w:cs="Arial"/>
          <w:sz w:val="24"/>
          <w:szCs w:val="24"/>
          <w:lang w:val="es-ES"/>
        </w:rPr>
        <w:t>Servicio</w:t>
      </w:r>
      <w:r w:rsidR="00B17A4D" w:rsidRPr="00C90E3F">
        <w:rPr>
          <w:rFonts w:eastAsia="Times New Roman" w:cs="Arial"/>
          <w:sz w:val="24"/>
          <w:szCs w:val="24"/>
          <w:lang w:val="es-ES"/>
        </w:rPr>
        <w:t>.</w:t>
      </w:r>
    </w:p>
    <w:p w:rsidR="00811DCC" w:rsidRPr="00C90E3F" w:rsidRDefault="00811DCC" w:rsidP="00C4126F">
      <w:pPr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C90E3F">
        <w:rPr>
          <w:rFonts w:eastAsia="Times New Roman" w:cs="Times New Roman"/>
          <w:bCs/>
          <w:sz w:val="24"/>
          <w:szCs w:val="24"/>
        </w:rPr>
        <w:t xml:space="preserve">Con la aceptación de los presentes Términos y Condiciones, el Cliente acepta expresamente y manifiesta conocer el Aviso Legal, que también rige el uso que realice de los </w:t>
      </w:r>
      <w:r w:rsidR="0031711F" w:rsidRPr="00C90E3F">
        <w:rPr>
          <w:rFonts w:eastAsia="Times New Roman" w:cs="Times New Roman"/>
          <w:bCs/>
          <w:sz w:val="24"/>
          <w:szCs w:val="24"/>
        </w:rPr>
        <w:t>Servicios</w:t>
      </w:r>
      <w:r w:rsidRPr="00C90E3F">
        <w:rPr>
          <w:rFonts w:eastAsia="Times New Roman" w:cs="Times New Roman"/>
          <w:bCs/>
          <w:sz w:val="24"/>
          <w:szCs w:val="24"/>
        </w:rPr>
        <w:t>, siendo de aplicación en lo que respecta a la presente cláusula.</w:t>
      </w:r>
    </w:p>
    <w:p w:rsidR="00560A01" w:rsidRPr="00C90E3F" w:rsidRDefault="00560A01" w:rsidP="00C4126F">
      <w:pPr>
        <w:spacing w:after="120"/>
        <w:jc w:val="both"/>
        <w:rPr>
          <w:rFonts w:cs="Georgia"/>
          <w:iCs/>
          <w:color w:val="000000"/>
          <w:sz w:val="24"/>
          <w:szCs w:val="24"/>
          <w:lang w:val="es-ES"/>
        </w:rPr>
      </w:pPr>
      <w:r w:rsidRPr="00C90E3F">
        <w:rPr>
          <w:rFonts w:cs="Georgia"/>
          <w:iCs/>
          <w:color w:val="000000"/>
          <w:sz w:val="24"/>
          <w:szCs w:val="24"/>
          <w:lang w:val="es-ES"/>
        </w:rPr>
        <w:lastRenderedPageBreak/>
        <w:t xml:space="preserve">Los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 ofertados en el Sitio Web, junto con sus características, descripciones y precio total, así como la garantía legal correspondiente y, en su caso, otras garantías comerciales que pudieran asistir al Cliente, aparecerán en pantalla. </w:t>
      </w:r>
    </w:p>
    <w:p w:rsidR="0008224E" w:rsidRPr="00C90E3F" w:rsidRDefault="00560A01" w:rsidP="00C4126F">
      <w:pPr>
        <w:spacing w:after="120"/>
        <w:jc w:val="both"/>
        <w:rPr>
          <w:rFonts w:cs="Georgia"/>
          <w:iCs/>
          <w:color w:val="000000"/>
          <w:sz w:val="24"/>
          <w:szCs w:val="24"/>
          <w:lang w:val="es-ES"/>
        </w:rPr>
      </w:pP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SABA se reserva el derecho a decidir en cada momento los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 que se contengan y se ofrezcan a los Clientes a través del Sitio Web. De este modo, SABA podrá, en cualquier momento, adicionar nuevos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 a los incluidos en el Sitio Web, entendiéndose, salvo que se disponga otra cosa, que tales nuevos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 se regirán por lo dispuesto en los Términos y Condiciones en vigor en ese momento. Asimismo, SABA se reserva el derecho a dejar de facilitar el acceso, en cualquier momento y sin previo aviso, a cualquiera de los </w:t>
      </w:r>
      <w:r w:rsidR="0031711F" w:rsidRPr="00C90E3F">
        <w:rPr>
          <w:rFonts w:cs="Georgia"/>
          <w:iCs/>
          <w:color w:val="000000"/>
          <w:sz w:val="24"/>
          <w:szCs w:val="24"/>
          <w:lang w:val="es-ES"/>
        </w:rPr>
        <w:t>Servicios</w:t>
      </w:r>
      <w:r w:rsidRPr="00C90E3F">
        <w:rPr>
          <w:rFonts w:cs="Georgia"/>
          <w:iCs/>
          <w:color w:val="000000"/>
          <w:sz w:val="24"/>
          <w:szCs w:val="24"/>
          <w:lang w:val="es-ES"/>
        </w:rPr>
        <w:t xml:space="preserve"> ofrecidos en el Sitio Web.</w:t>
      </w:r>
    </w:p>
    <w:p w:rsidR="00C90E3F" w:rsidRDefault="00C90E3F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</w:p>
    <w:p w:rsidR="008E38BB" w:rsidRPr="00C90E3F" w:rsidRDefault="0008224E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>2</w:t>
      </w:r>
      <w:r w:rsidR="00490D51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. </w:t>
      </w:r>
      <w:r w:rsidR="008E38BB" w:rsidRPr="00C90E3F">
        <w:rPr>
          <w:rFonts w:eastAsia="Times New Roman" w:cs="Times New Roman"/>
          <w:b/>
          <w:caps/>
          <w:sz w:val="24"/>
          <w:szCs w:val="24"/>
          <w:lang w:val="es-ES"/>
        </w:rPr>
        <w:t>m</w:t>
      </w:r>
      <w:r w:rsidR="005F3211" w:rsidRPr="00C90E3F">
        <w:rPr>
          <w:rFonts w:eastAsia="Times New Roman" w:cs="Times New Roman"/>
          <w:b/>
          <w:caps/>
          <w:sz w:val="24"/>
          <w:szCs w:val="24"/>
          <w:lang w:val="es-ES"/>
        </w:rPr>
        <w:t>odificación de las condiciones</w:t>
      </w:r>
    </w:p>
    <w:p w:rsidR="00125291" w:rsidRPr="00C90E3F" w:rsidRDefault="00B17A4D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SABA</w:t>
      </w:r>
      <w:r w:rsidR="00285B9C" w:rsidRPr="00C90E3F">
        <w:rPr>
          <w:rFonts w:eastAsia="Times New Roman" w:cs="Times New Roman"/>
          <w:sz w:val="24"/>
          <w:szCs w:val="24"/>
          <w:lang w:val="es-ES"/>
        </w:rPr>
        <w:t xml:space="preserve"> se reserva el derecho a modificar unilateralmente estos Términos y Condiciones de Compra en cualquier momento. Todas las modificaciones de estos Términos y Condiciones de Compra se publicarán online</w:t>
      </w:r>
      <w:r w:rsidR="00075DC8" w:rsidRPr="00C90E3F">
        <w:rPr>
          <w:rFonts w:eastAsia="Times New Roman" w:cs="Times New Roman"/>
          <w:sz w:val="24"/>
          <w:szCs w:val="24"/>
          <w:lang w:val="es-ES"/>
        </w:rPr>
        <w:t xml:space="preserve">. El </w:t>
      </w:r>
      <w:r w:rsidR="00BD5184" w:rsidRPr="00C90E3F">
        <w:rPr>
          <w:rFonts w:eastAsia="Times New Roman" w:cs="Times New Roman"/>
          <w:sz w:val="24"/>
          <w:szCs w:val="24"/>
          <w:lang w:val="es-ES"/>
        </w:rPr>
        <w:t>Cliente</w:t>
      </w:r>
      <w:r w:rsidR="00075DC8" w:rsidRPr="00C90E3F">
        <w:rPr>
          <w:rFonts w:eastAsia="Times New Roman" w:cs="Times New Roman"/>
          <w:sz w:val="24"/>
          <w:szCs w:val="24"/>
          <w:lang w:val="es-ES"/>
        </w:rPr>
        <w:t xml:space="preserve"> estará sujeto a aquella versión del presente documento que aceptó en el momento de compra.</w:t>
      </w:r>
      <w:r w:rsidR="00285B9C"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</w:p>
    <w:p w:rsidR="001C3CFE" w:rsidRPr="00C90E3F" w:rsidRDefault="001C3CFE" w:rsidP="00C4126F">
      <w:pPr>
        <w:spacing w:after="120"/>
        <w:jc w:val="both"/>
        <w:rPr>
          <w:rFonts w:eastAsia="Times New Roman" w:cs="Times New Roman"/>
          <w:b/>
          <w:sz w:val="24"/>
          <w:szCs w:val="24"/>
          <w:lang w:val="es-ES"/>
        </w:rPr>
      </w:pPr>
    </w:p>
    <w:p w:rsidR="00FE141D" w:rsidRPr="00C90E3F" w:rsidRDefault="00D557C9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>3</w:t>
      </w:r>
      <w:r w:rsidR="005C3D11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. </w:t>
      </w:r>
      <w:r w:rsidR="00FE141D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Proceso </w:t>
      </w:r>
      <w:r w:rsidR="00461A4A" w:rsidRPr="00C90E3F">
        <w:rPr>
          <w:rFonts w:eastAsia="Times New Roman" w:cs="Times New Roman"/>
          <w:b/>
          <w:caps/>
          <w:sz w:val="24"/>
          <w:szCs w:val="24"/>
          <w:lang w:val="es-ES"/>
        </w:rPr>
        <w:t>DE</w:t>
      </w:r>
      <w:r w:rsidR="00FD5FC0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 </w:t>
      </w:r>
      <w:r w:rsidR="00FE141D" w:rsidRPr="00C90E3F">
        <w:rPr>
          <w:rFonts w:eastAsia="Times New Roman" w:cs="Times New Roman"/>
          <w:b/>
          <w:caps/>
          <w:sz w:val="24"/>
          <w:szCs w:val="24"/>
          <w:lang w:val="es-ES"/>
        </w:rPr>
        <w:t>compra</w:t>
      </w:r>
      <w:r w:rsidR="008E38BB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 online</w:t>
      </w:r>
    </w:p>
    <w:p w:rsidR="00776698" w:rsidRPr="00C90E3F" w:rsidRDefault="00776698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Para la adquisición de los </w:t>
      </w:r>
      <w:r w:rsidR="0031711F" w:rsidRPr="00C90E3F">
        <w:rPr>
          <w:rFonts w:eastAsia="Times New Roman" w:cs="Times New Roman"/>
          <w:sz w:val="24"/>
          <w:szCs w:val="24"/>
          <w:lang w:val="es-ES"/>
        </w:rPr>
        <w:t>Servicios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ofertados en el Sitio Web, el Cliente deberá seguir las indicaciones que se le muestren en pantalla y aceptar la compra mediante el cumplimie</w:t>
      </w:r>
      <w:r w:rsidR="009E6C72" w:rsidRPr="00C90E3F">
        <w:rPr>
          <w:rFonts w:eastAsia="Times New Roman" w:cs="Times New Roman"/>
          <w:sz w:val="24"/>
          <w:szCs w:val="24"/>
          <w:lang w:val="es-ES"/>
        </w:rPr>
        <w:t>nto de las citadas indicaciones</w:t>
      </w:r>
      <w:r w:rsidRPr="00C90E3F">
        <w:rPr>
          <w:rFonts w:eastAsia="Times New Roman" w:cs="Times New Roman"/>
          <w:sz w:val="24"/>
          <w:szCs w:val="24"/>
          <w:lang w:val="es-ES"/>
        </w:rPr>
        <w:t>.</w:t>
      </w:r>
    </w:p>
    <w:p w:rsidR="008D6842" w:rsidRPr="00C90E3F" w:rsidRDefault="00527C00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 E</w:t>
      </w:r>
      <w:r w:rsidR="00404FEE" w:rsidRPr="00C90E3F">
        <w:rPr>
          <w:rFonts w:eastAsia="Times New Roman" w:cs="Times New Roman"/>
          <w:sz w:val="24"/>
          <w:szCs w:val="24"/>
          <w:lang w:val="es-ES"/>
        </w:rPr>
        <w:t>n caso de que el Cliente sea persona física, debe tener al menos 18 años para adquirir los Servicios.</w:t>
      </w:r>
    </w:p>
    <w:p w:rsidR="00703968" w:rsidRPr="00C90E3F" w:rsidRDefault="00527C00" w:rsidP="00C4126F">
      <w:pPr>
        <w:spacing w:after="120"/>
        <w:jc w:val="both"/>
        <w:rPr>
          <w:rFonts w:eastAsia="Times New Roman" w:cs="Arial"/>
          <w:color w:val="000000"/>
          <w:sz w:val="24"/>
          <w:szCs w:val="24"/>
          <w:lang w:val="es-ES"/>
        </w:rPr>
      </w:pPr>
      <w:r w:rsidRPr="00C90E3F">
        <w:rPr>
          <w:rFonts w:eastAsia="Times New Roman" w:cs="Arial"/>
          <w:color w:val="000000"/>
          <w:sz w:val="24"/>
          <w:szCs w:val="24"/>
          <w:lang w:val="es-ES"/>
        </w:rPr>
        <w:t>La</w:t>
      </w:r>
      <w:r w:rsidR="00FD5FC0" w:rsidRPr="00C90E3F">
        <w:rPr>
          <w:rFonts w:eastAsia="Times New Roman" w:cs="Arial"/>
          <w:color w:val="000000"/>
          <w:sz w:val="24"/>
          <w:szCs w:val="24"/>
          <w:lang w:val="es-ES"/>
        </w:rPr>
        <w:t xml:space="preserve"> contratación se llevará a cabo mediante la cumplimentación por el Cliente de los diferentes formularios que se presenten a lo largo de todo el proceso de compra y la aceptación expresa por el Cliente de los presentes Términos y Condiciones y de todas las condiciones aplicables al producto contratado. En el proceso de compra, el envío del formulario una vez cumplimentado, </w:t>
      </w:r>
      <w:r w:rsidR="00022CA9" w:rsidRPr="00C90E3F">
        <w:rPr>
          <w:rFonts w:eastAsia="Times New Roman" w:cs="Arial"/>
          <w:color w:val="000000"/>
          <w:sz w:val="24"/>
          <w:szCs w:val="24"/>
          <w:lang w:val="es-ES"/>
        </w:rPr>
        <w:t>pulsando el botón “</w:t>
      </w:r>
      <w:r w:rsidR="00022CA9" w:rsidRPr="00C90E3F">
        <w:rPr>
          <w:rFonts w:eastAsia="Times New Roman" w:cs="Arial"/>
          <w:b/>
          <w:color w:val="000000"/>
          <w:sz w:val="24"/>
          <w:szCs w:val="24"/>
          <w:lang w:val="es-ES"/>
        </w:rPr>
        <w:t>Pagar y Finalizar Compra</w:t>
      </w:r>
      <w:r w:rsidR="00022CA9" w:rsidRPr="00C90E3F">
        <w:rPr>
          <w:rFonts w:eastAsia="Times New Roman" w:cs="Arial"/>
          <w:color w:val="000000"/>
          <w:sz w:val="24"/>
          <w:szCs w:val="24"/>
          <w:lang w:val="es-ES"/>
        </w:rPr>
        <w:t xml:space="preserve">” </w:t>
      </w:r>
      <w:r w:rsidR="00FD5FC0" w:rsidRPr="00C90E3F">
        <w:rPr>
          <w:rFonts w:eastAsia="Times New Roman" w:cs="Arial"/>
          <w:color w:val="000000"/>
          <w:sz w:val="24"/>
          <w:szCs w:val="24"/>
          <w:lang w:val="es-ES"/>
        </w:rPr>
        <w:t xml:space="preserve">finalizará el proceso y supondrá la plena aceptación por el </w:t>
      </w:r>
      <w:r w:rsidR="00022CA9" w:rsidRPr="00C90E3F">
        <w:rPr>
          <w:rFonts w:eastAsia="Times New Roman" w:cs="Arial"/>
          <w:color w:val="000000"/>
          <w:sz w:val="24"/>
          <w:szCs w:val="24"/>
          <w:lang w:val="es-ES"/>
        </w:rPr>
        <w:t>Cliente</w:t>
      </w:r>
      <w:r w:rsidR="00FD5FC0" w:rsidRPr="00C90E3F">
        <w:rPr>
          <w:rFonts w:eastAsia="Times New Roman" w:cs="Arial"/>
          <w:color w:val="000000"/>
          <w:sz w:val="24"/>
          <w:szCs w:val="24"/>
          <w:lang w:val="es-ES"/>
        </w:rPr>
        <w:t xml:space="preserve"> de la propuesta comercial de </w:t>
      </w:r>
      <w:r w:rsidR="00022CA9" w:rsidRPr="00C90E3F">
        <w:rPr>
          <w:rFonts w:eastAsia="Times New Roman" w:cs="Arial"/>
          <w:color w:val="000000"/>
          <w:sz w:val="24"/>
          <w:szCs w:val="24"/>
          <w:lang w:val="es-ES"/>
        </w:rPr>
        <w:t xml:space="preserve">SABA </w:t>
      </w:r>
      <w:r w:rsidR="00FD5FC0" w:rsidRPr="00C90E3F">
        <w:rPr>
          <w:rFonts w:eastAsia="Times New Roman" w:cs="Arial"/>
          <w:color w:val="000000"/>
          <w:sz w:val="24"/>
          <w:szCs w:val="24"/>
          <w:lang w:val="es-ES"/>
        </w:rPr>
        <w:t>y de las condiciones aplicables</w:t>
      </w:r>
      <w:r w:rsidR="00560A01" w:rsidRPr="00C90E3F">
        <w:rPr>
          <w:rFonts w:eastAsia="Times New Roman" w:cs="Arial"/>
          <w:color w:val="000000"/>
          <w:sz w:val="24"/>
          <w:szCs w:val="24"/>
          <w:lang w:val="es-ES"/>
        </w:rPr>
        <w:t>, redirigiéndose a una página de confirmación de la compra en pantalla, que el Cliente puede imprimir</w:t>
      </w:r>
      <w:r w:rsidR="009E6C72" w:rsidRPr="00C90E3F">
        <w:rPr>
          <w:rFonts w:eastAsia="Times New Roman" w:cs="Arial"/>
          <w:color w:val="000000"/>
          <w:sz w:val="24"/>
          <w:szCs w:val="24"/>
          <w:lang w:val="es-ES"/>
        </w:rPr>
        <w:t>.</w:t>
      </w:r>
    </w:p>
    <w:p w:rsidR="00527C00" w:rsidRPr="00C90E3F" w:rsidRDefault="00527C00" w:rsidP="00C4126F">
      <w:pPr>
        <w:spacing w:after="120"/>
        <w:jc w:val="both"/>
        <w:rPr>
          <w:rFonts w:eastAsia="Times New Roman" w:cs="Arial"/>
          <w:color w:val="000000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El Cliente debe haberse registrado previamente como usuario en la Oficina Virtual. </w:t>
      </w:r>
    </w:p>
    <w:p w:rsidR="0023373E" w:rsidRPr="00C90E3F" w:rsidRDefault="0023373E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El Cliente, al efectuar la compra, recibirá un </w:t>
      </w:r>
      <w:r w:rsidR="00527C00" w:rsidRPr="00C90E3F">
        <w:rPr>
          <w:rFonts w:eastAsia="Times New Roman" w:cs="Times New Roman"/>
          <w:sz w:val="24"/>
          <w:szCs w:val="24"/>
          <w:lang w:val="es-ES"/>
        </w:rPr>
        <w:t>localizador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(en adelante, el “</w:t>
      </w:r>
      <w:r w:rsidRPr="00C90E3F">
        <w:rPr>
          <w:rFonts w:eastAsia="Times New Roman" w:cs="Times New Roman"/>
          <w:b/>
          <w:sz w:val="24"/>
          <w:szCs w:val="24"/>
          <w:lang w:val="es-ES"/>
        </w:rPr>
        <w:t>Código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”). El Código da derecho a disfrutar del servicio contratado. </w:t>
      </w:r>
    </w:p>
    <w:p w:rsidR="00F82E26" w:rsidRDefault="00F82E26" w:rsidP="00C4126F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C90E3F">
        <w:rPr>
          <w:rFonts w:eastAsia="Times New Roman" w:cs="Times New Roman"/>
          <w:sz w:val="24"/>
          <w:szCs w:val="24"/>
        </w:rPr>
        <w:lastRenderedPageBreak/>
        <w:t>El Código sólo se puede canjear completamente.</w:t>
      </w:r>
      <w:r w:rsidR="00527C00" w:rsidRPr="00C90E3F">
        <w:rPr>
          <w:rFonts w:eastAsia="Times New Roman" w:cs="Times New Roman"/>
          <w:sz w:val="24"/>
          <w:szCs w:val="24"/>
        </w:rPr>
        <w:t xml:space="preserve"> Para determinados productos el canje deberá realizarse físicamente en el aparcamiento afectado por la contratación. Este hecho le será advertido durante el proceso de contratación.</w:t>
      </w:r>
      <w:r w:rsidRPr="00C90E3F">
        <w:rPr>
          <w:rFonts w:eastAsia="Times New Roman" w:cs="Times New Roman"/>
          <w:sz w:val="24"/>
          <w:szCs w:val="24"/>
        </w:rPr>
        <w:t xml:space="preserve"> </w:t>
      </w:r>
    </w:p>
    <w:p w:rsidR="002E1A27" w:rsidRPr="00C90E3F" w:rsidRDefault="002E1A27" w:rsidP="00C4126F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2E1A27">
        <w:rPr>
          <w:rFonts w:eastAsia="Times New Roman" w:cs="Times New Roman"/>
          <w:sz w:val="24"/>
          <w:szCs w:val="24"/>
        </w:rPr>
        <w:t>En el caso de que los Servicios contratados consistan en la compra de horas o días para consumo (por ejemplo, vale horario o Multidía)  la disponibilidad de plazas estará sujeta al nivel de ocupación de los aparcamientos.</w:t>
      </w:r>
    </w:p>
    <w:p w:rsidR="00FD5FC0" w:rsidRPr="00C90E3F" w:rsidRDefault="002A28F3" w:rsidP="00C4126F">
      <w:pPr>
        <w:spacing w:after="120"/>
        <w:jc w:val="both"/>
        <w:rPr>
          <w:rFonts w:eastAsia="Times New Roman" w:cs="Times New Roman"/>
          <w:sz w:val="24"/>
          <w:szCs w:val="24"/>
        </w:rPr>
      </w:pPr>
      <w:r w:rsidRPr="00C90E3F">
        <w:rPr>
          <w:rFonts w:eastAsia="Times New Roman" w:cs="Times New Roman"/>
          <w:sz w:val="24"/>
          <w:szCs w:val="24"/>
        </w:rPr>
        <w:t xml:space="preserve">En el caso de los abonos, SABA </w:t>
      </w:r>
      <w:r w:rsidR="00FD5FC0" w:rsidRPr="00C90E3F">
        <w:rPr>
          <w:rFonts w:eastAsia="Times New Roman" w:cs="Times New Roman"/>
          <w:sz w:val="24"/>
          <w:szCs w:val="24"/>
        </w:rPr>
        <w:t>notificará al Cliente mediante correo electrónico en el supuesto de que el Servicio contratado no pudiera ser facilitado en las condiciones pactadas. En dicho caso, SABA pondrá a disposición y elección del Cliente, (i) otro Servicio de prestaciones similares (si estuviera disponible) o (</w:t>
      </w:r>
      <w:proofErr w:type="spellStart"/>
      <w:r w:rsidR="00FD5FC0" w:rsidRPr="00C90E3F">
        <w:rPr>
          <w:rFonts w:eastAsia="Times New Roman" w:cs="Times New Roman"/>
          <w:sz w:val="24"/>
          <w:szCs w:val="24"/>
        </w:rPr>
        <w:t>ii</w:t>
      </w:r>
      <w:proofErr w:type="spellEnd"/>
      <w:r w:rsidR="00FD5FC0" w:rsidRPr="00C90E3F">
        <w:rPr>
          <w:rFonts w:eastAsia="Times New Roman" w:cs="Times New Roman"/>
          <w:sz w:val="24"/>
          <w:szCs w:val="24"/>
        </w:rPr>
        <w:t>) el reembolso del precio de compra del Servicio contratado inicialmente.</w:t>
      </w:r>
    </w:p>
    <w:p w:rsidR="00125291" w:rsidRPr="00C90E3F" w:rsidRDefault="00125291" w:rsidP="00C4126F">
      <w:pPr>
        <w:spacing w:after="120"/>
        <w:jc w:val="both"/>
        <w:rPr>
          <w:rFonts w:eastAsia="Times New Roman" w:cs="Times New Roman"/>
          <w:b/>
          <w:sz w:val="24"/>
          <w:szCs w:val="24"/>
          <w:lang w:val="es-ES"/>
        </w:rPr>
      </w:pPr>
    </w:p>
    <w:p w:rsidR="008D6842" w:rsidRPr="00C90E3F" w:rsidRDefault="009E6C72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>4</w:t>
      </w:r>
      <w:r w:rsidR="009F6620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. </w:t>
      </w:r>
      <w:r w:rsidR="00497E90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PRECIO Y </w:t>
      </w:r>
      <w:r w:rsidR="008D6842" w:rsidRPr="00C90E3F">
        <w:rPr>
          <w:rFonts w:eastAsia="Times New Roman" w:cs="Times New Roman"/>
          <w:b/>
          <w:caps/>
          <w:sz w:val="24"/>
          <w:szCs w:val="24"/>
          <w:lang w:val="es-ES"/>
        </w:rPr>
        <w:t>Modo de pago</w:t>
      </w:r>
    </w:p>
    <w:p w:rsidR="00497E90" w:rsidRPr="00C90E3F" w:rsidRDefault="00497E90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Los precios de los </w:t>
      </w:r>
      <w:r w:rsidR="0031711F" w:rsidRPr="00C90E3F">
        <w:rPr>
          <w:rFonts w:eastAsia="Times New Roman" w:cs="Times New Roman"/>
          <w:sz w:val="24"/>
          <w:szCs w:val="24"/>
          <w:lang w:val="es-ES"/>
        </w:rPr>
        <w:t>Servicios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mostrados en el Sitio Web se expresarán en </w:t>
      </w:r>
      <w:r w:rsidR="00795F83">
        <w:rPr>
          <w:rFonts w:eastAsia="Times New Roman" w:cs="Times New Roman"/>
          <w:sz w:val="24"/>
          <w:szCs w:val="24"/>
          <w:lang w:val="es-ES"/>
        </w:rPr>
        <w:t>pesos chileno</w:t>
      </w:r>
      <w:r w:rsidR="00795F83" w:rsidRPr="00C90E3F">
        <w:rPr>
          <w:rFonts w:eastAsia="Times New Roman" w:cs="Times New Roman"/>
          <w:sz w:val="24"/>
          <w:szCs w:val="24"/>
          <w:lang w:val="es-ES"/>
        </w:rPr>
        <w:t xml:space="preserve">s 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e incluyen cualesquiera impuestos aplicables y otros costes que se pudieran aplicar. En caso de </w:t>
      </w:r>
      <w:r w:rsidR="0031711F" w:rsidRPr="00C90E3F">
        <w:rPr>
          <w:rFonts w:eastAsia="Times New Roman" w:cs="Times New Roman"/>
          <w:sz w:val="24"/>
          <w:szCs w:val="24"/>
          <w:lang w:val="es-ES"/>
        </w:rPr>
        <w:t>Servicios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susceptibles de envío a domicilio, los gastos de transporte y envío se aplicarán a las entregas de producto y serán mostrados cuando correspondan.</w:t>
      </w:r>
    </w:p>
    <w:p w:rsidR="00A02F30" w:rsidRPr="00C90E3F" w:rsidRDefault="0008224E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El pago del </w:t>
      </w:r>
      <w:r w:rsidR="009D6B40" w:rsidRPr="00C90E3F">
        <w:rPr>
          <w:rFonts w:eastAsia="Times New Roman" w:cs="Times New Roman"/>
          <w:sz w:val="24"/>
          <w:szCs w:val="24"/>
          <w:lang w:val="es-ES"/>
        </w:rPr>
        <w:t>Servicio contratado por el Cliente</w:t>
      </w:r>
      <w:r w:rsidR="008D6842" w:rsidRPr="00C90E3F">
        <w:rPr>
          <w:rFonts w:eastAsia="Times New Roman" w:cs="Times New Roman"/>
          <w:sz w:val="24"/>
          <w:szCs w:val="24"/>
          <w:lang w:val="es-ES"/>
        </w:rPr>
        <w:t xml:space="preserve"> se efectúa a través </w:t>
      </w:r>
      <w:r w:rsidR="00497E90" w:rsidRPr="00C90E3F">
        <w:rPr>
          <w:rFonts w:eastAsia="Times New Roman" w:cs="Times New Roman"/>
          <w:sz w:val="24"/>
          <w:szCs w:val="24"/>
          <w:lang w:val="es-ES"/>
        </w:rPr>
        <w:t xml:space="preserve">de tarjeta de crédito o débito o </w:t>
      </w:r>
      <w:r w:rsidR="00A02F30" w:rsidRPr="00C90E3F">
        <w:rPr>
          <w:rFonts w:eastAsia="Times New Roman" w:cs="Times New Roman"/>
          <w:sz w:val="24"/>
          <w:szCs w:val="24"/>
          <w:lang w:val="es-ES"/>
        </w:rPr>
        <w:t xml:space="preserve">a través del sistema </w:t>
      </w:r>
      <w:proofErr w:type="spellStart"/>
      <w:r w:rsidR="00A02F30" w:rsidRPr="00C90E3F">
        <w:rPr>
          <w:rFonts w:eastAsia="Times New Roman" w:cs="Times New Roman"/>
          <w:sz w:val="24"/>
          <w:szCs w:val="24"/>
          <w:lang w:val="es-ES"/>
        </w:rPr>
        <w:t>PayPal</w:t>
      </w:r>
      <w:proofErr w:type="spellEnd"/>
      <w:r w:rsidR="00A02F30" w:rsidRPr="00C90E3F">
        <w:rPr>
          <w:rFonts w:eastAsia="Times New Roman" w:cs="Times New Roman"/>
          <w:sz w:val="24"/>
          <w:szCs w:val="24"/>
          <w:lang w:val="es-ES"/>
        </w:rPr>
        <w:t xml:space="preserve"> (cuenta </w:t>
      </w:r>
      <w:proofErr w:type="spellStart"/>
      <w:r w:rsidR="00A02F30" w:rsidRPr="00C90E3F">
        <w:rPr>
          <w:rFonts w:eastAsia="Times New Roman" w:cs="Times New Roman"/>
          <w:sz w:val="24"/>
          <w:szCs w:val="24"/>
          <w:lang w:val="es-ES"/>
        </w:rPr>
        <w:t>PayPal</w:t>
      </w:r>
      <w:proofErr w:type="spellEnd"/>
      <w:r w:rsidR="00A02F30" w:rsidRPr="00C90E3F">
        <w:rPr>
          <w:rFonts w:eastAsia="Times New Roman" w:cs="Times New Roman"/>
          <w:sz w:val="24"/>
          <w:szCs w:val="24"/>
          <w:lang w:val="es-ES"/>
        </w:rPr>
        <w:t xml:space="preserve"> o pago con tarjeta)</w:t>
      </w:r>
      <w:r w:rsidR="00D557C9" w:rsidRPr="00C90E3F">
        <w:rPr>
          <w:rFonts w:eastAsia="Times New Roman" w:cs="Times New Roman"/>
          <w:sz w:val="24"/>
          <w:szCs w:val="24"/>
          <w:lang w:val="es-ES"/>
        </w:rPr>
        <w:t xml:space="preserve"> o cualquier otra plataforma de pago que </w:t>
      </w:r>
      <w:r w:rsidR="002F7281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="00D557C9" w:rsidRPr="00C90E3F">
        <w:rPr>
          <w:rFonts w:eastAsia="Times New Roman" w:cs="Times New Roman"/>
          <w:sz w:val="24"/>
          <w:szCs w:val="24"/>
          <w:lang w:val="es-ES"/>
        </w:rPr>
        <w:t xml:space="preserve"> pueda poner a disposición del Usuario en el futuro</w:t>
      </w:r>
      <w:r w:rsidR="008D6842" w:rsidRPr="00C90E3F">
        <w:rPr>
          <w:rFonts w:eastAsia="Times New Roman" w:cs="Times New Roman"/>
          <w:sz w:val="24"/>
          <w:szCs w:val="24"/>
          <w:lang w:val="es-ES"/>
        </w:rPr>
        <w:t xml:space="preserve">. </w:t>
      </w:r>
      <w:r w:rsidR="00A02F30" w:rsidRPr="00C90E3F">
        <w:rPr>
          <w:rFonts w:eastAsia="Times New Roman" w:cs="Times New Roman"/>
          <w:sz w:val="24"/>
          <w:szCs w:val="24"/>
          <w:lang w:val="es-ES"/>
        </w:rPr>
        <w:t>En este sentido, el Cliente deberá proceder a cumplimentar los datos o el formulario al que sea redirigido en función del método que en cada caso se haya seleccionado.</w:t>
      </w:r>
    </w:p>
    <w:p w:rsidR="0015742D" w:rsidRPr="00C90E3F" w:rsidRDefault="008D684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Para proceder al pago, el </w:t>
      </w:r>
      <w:r w:rsidR="00BD5184" w:rsidRPr="00C90E3F">
        <w:rPr>
          <w:rFonts w:eastAsia="Times New Roman" w:cs="Times New Roman"/>
          <w:sz w:val="24"/>
          <w:szCs w:val="24"/>
          <w:lang w:val="es-ES"/>
        </w:rPr>
        <w:t>Cliente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deberá seguir todas y cada una de las instrucciones que aparecen en pantalla, proporcionando información</w:t>
      </w:r>
      <w:r w:rsidR="00461A4A" w:rsidRPr="00C90E3F">
        <w:rPr>
          <w:rFonts w:eastAsia="Times New Roman" w:cs="Times New Roman"/>
          <w:sz w:val="24"/>
          <w:szCs w:val="24"/>
          <w:lang w:val="es-ES"/>
        </w:rPr>
        <w:t xml:space="preserve"> requerida</w:t>
      </w:r>
      <w:r w:rsidRPr="00C90E3F">
        <w:rPr>
          <w:rFonts w:eastAsia="Times New Roman" w:cs="Times New Roman"/>
          <w:sz w:val="24"/>
          <w:szCs w:val="24"/>
          <w:lang w:val="es-ES"/>
        </w:rPr>
        <w:t>.</w:t>
      </w:r>
      <w:r w:rsidR="002C4A29" w:rsidRPr="00C90E3F">
        <w:rPr>
          <w:rFonts w:eastAsia="Times New Roman" w:cs="Times New Roman"/>
          <w:sz w:val="24"/>
          <w:szCs w:val="24"/>
          <w:lang w:val="es-ES"/>
        </w:rPr>
        <w:t xml:space="preserve"> El </w:t>
      </w:r>
      <w:r w:rsidR="00BD5184" w:rsidRPr="00C90E3F">
        <w:rPr>
          <w:rFonts w:eastAsia="Times New Roman" w:cs="Times New Roman"/>
          <w:sz w:val="24"/>
          <w:szCs w:val="24"/>
          <w:lang w:val="es-ES"/>
        </w:rPr>
        <w:t>Cliente</w:t>
      </w:r>
      <w:r w:rsidR="002C4A29" w:rsidRPr="00C90E3F">
        <w:rPr>
          <w:rFonts w:eastAsia="Times New Roman" w:cs="Times New Roman"/>
          <w:sz w:val="24"/>
          <w:szCs w:val="24"/>
          <w:lang w:val="es-ES"/>
        </w:rPr>
        <w:t xml:space="preserve"> se compromete a no proporcionar datos falsos, incluyendo nombres, direcciones y/o detalles de contacto o pago; a no iniciar alguna actividad i</w:t>
      </w:r>
      <w:r w:rsidR="00F7315B" w:rsidRPr="00C90E3F">
        <w:rPr>
          <w:rFonts w:eastAsia="Times New Roman" w:cs="Times New Roman"/>
          <w:sz w:val="24"/>
          <w:szCs w:val="24"/>
          <w:lang w:val="es-ES"/>
        </w:rPr>
        <w:t>legal en conexión con la compra</w:t>
      </w:r>
      <w:r w:rsidR="002C4A29" w:rsidRPr="00C90E3F">
        <w:rPr>
          <w:rFonts w:eastAsia="Times New Roman" w:cs="Times New Roman"/>
          <w:sz w:val="24"/>
          <w:szCs w:val="24"/>
          <w:lang w:val="es-ES"/>
        </w:rPr>
        <w:t xml:space="preserve"> y a no permitir que nadie lo haga.</w:t>
      </w:r>
    </w:p>
    <w:p w:rsidR="006D08FB" w:rsidRPr="00C90E3F" w:rsidRDefault="006D08FB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Para efectuar el pago, el Cliente será </w:t>
      </w:r>
      <w:proofErr w:type="spellStart"/>
      <w:r w:rsidRPr="00C90E3F">
        <w:rPr>
          <w:rFonts w:eastAsia="Times New Roman" w:cs="Times New Roman"/>
          <w:sz w:val="24"/>
          <w:szCs w:val="24"/>
          <w:lang w:val="es-ES"/>
        </w:rPr>
        <w:t>redireccionado</w:t>
      </w:r>
      <w:proofErr w:type="spellEnd"/>
      <w:r w:rsidRPr="00C90E3F">
        <w:rPr>
          <w:rFonts w:eastAsia="Times New Roman" w:cs="Times New Roman"/>
          <w:sz w:val="24"/>
          <w:szCs w:val="24"/>
          <w:lang w:val="es-ES"/>
        </w:rPr>
        <w:t xml:space="preserve"> a la web de la entidad encargada de procesar el pago, donde podrá pagar con su tarjeta de débito o crédito de manera segura.</w:t>
      </w:r>
    </w:p>
    <w:p w:rsidR="009D6B40" w:rsidRPr="00C90E3F" w:rsidRDefault="00461A4A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En función de la plataforma de pago utilizada, p</w:t>
      </w:r>
      <w:r w:rsidR="009D6B40" w:rsidRPr="00C90E3F">
        <w:rPr>
          <w:rFonts w:eastAsia="Times New Roman" w:cs="Times New Roman"/>
          <w:sz w:val="24"/>
          <w:szCs w:val="24"/>
          <w:lang w:val="es-ES"/>
        </w:rPr>
        <w:t xml:space="preserve">ara poder hacer efectivo el pago, el Cliente deberá aceptar previamente las </w:t>
      </w:r>
      <w:r w:rsidRPr="00C90E3F">
        <w:rPr>
          <w:rFonts w:eastAsia="Times New Roman" w:cs="Times New Roman"/>
          <w:sz w:val="24"/>
          <w:szCs w:val="24"/>
          <w:lang w:val="es-ES"/>
        </w:rPr>
        <w:t>condiciones de la plataforma de pago</w:t>
      </w:r>
      <w:r w:rsidR="009D6B40" w:rsidRPr="00C90E3F">
        <w:rPr>
          <w:rFonts w:eastAsia="Times New Roman" w:cs="Times New Roman"/>
          <w:sz w:val="24"/>
          <w:szCs w:val="24"/>
          <w:lang w:val="es-ES"/>
        </w:rPr>
        <w:t>, responsable de gestionar y llevar a cabo todo el proceso de pago y de cobro del Servicio contratado, actuando en su condición de proveedor de pago de SABA.</w:t>
      </w:r>
    </w:p>
    <w:p w:rsidR="006D08FB" w:rsidRPr="00C90E3F" w:rsidRDefault="0008224E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SABA</w:t>
      </w:r>
      <w:r w:rsidR="006D08FB" w:rsidRPr="00C90E3F">
        <w:rPr>
          <w:rFonts w:eastAsia="Times New Roman" w:cs="Times New Roman"/>
          <w:sz w:val="24"/>
          <w:szCs w:val="24"/>
          <w:lang w:val="es-ES"/>
        </w:rPr>
        <w:t xml:space="preserve"> manifiesta que no tiene acceso ni almacena datos sensibles relativos al medio de pago utilizado por el Cliente. Únicamente la entidad correspondiente procesadora del pago tiene acceso a estos datos a modo de gestión de los pagos y cobros. </w:t>
      </w:r>
    </w:p>
    <w:p w:rsidR="008D6842" w:rsidRPr="00C90E3F" w:rsidRDefault="008D684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lastRenderedPageBreak/>
        <w:t>Todos los datos proporcionados a estos efectos son encriptados para garantizar la máxima seguridad de los mismos.</w:t>
      </w:r>
    </w:p>
    <w:p w:rsidR="001939FD" w:rsidRPr="00C90E3F" w:rsidRDefault="001939FD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</w:p>
    <w:p w:rsidR="009E6C72" w:rsidRPr="00C90E3F" w:rsidRDefault="009E6C72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>5</w:t>
      </w:r>
      <w:r w:rsidR="0031711F" w:rsidRPr="00C90E3F">
        <w:rPr>
          <w:rFonts w:eastAsia="Times New Roman" w:cs="Times New Roman"/>
          <w:b/>
          <w:caps/>
          <w:sz w:val="24"/>
          <w:szCs w:val="24"/>
          <w:lang w:val="es-ES"/>
        </w:rPr>
        <w:t>. Condiciones de uso del Código</w:t>
      </w:r>
    </w:p>
    <w:p w:rsidR="009E6C72" w:rsidRPr="00C90E3F" w:rsidRDefault="009E6C7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La compra de un Código se entiende realizada para el uso personal, bien del Cliente, bien de cualquier tercero al que éste designe. Queda expresamente prohibido:</w:t>
      </w:r>
    </w:p>
    <w:p w:rsidR="009E6C72" w:rsidRPr="00C90E3F" w:rsidRDefault="009E6C72" w:rsidP="00C4126F">
      <w:pPr>
        <w:pStyle w:val="Prrafodelista"/>
        <w:numPr>
          <w:ilvl w:val="0"/>
          <w:numId w:val="2"/>
        </w:numPr>
        <w:spacing w:after="120"/>
        <w:ind w:left="709" w:hanging="349"/>
        <w:contextualSpacing w:val="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La venta o uso con finalidades lucrativas del Código.</w:t>
      </w:r>
    </w:p>
    <w:p w:rsidR="009E6C72" w:rsidRPr="00C90E3F" w:rsidRDefault="009E6C72" w:rsidP="00C4126F">
      <w:pPr>
        <w:pStyle w:val="Prrafodelista"/>
        <w:numPr>
          <w:ilvl w:val="0"/>
          <w:numId w:val="2"/>
        </w:numPr>
        <w:spacing w:after="120"/>
        <w:ind w:left="709" w:hanging="349"/>
        <w:contextualSpacing w:val="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La copia del Código.</w:t>
      </w:r>
    </w:p>
    <w:p w:rsidR="009E6C72" w:rsidRPr="00C90E3F" w:rsidRDefault="009E6C7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Una vez emitido el Código, el Cliente será el único responsable de su custodia. </w:t>
      </w:r>
      <w:r w:rsidR="002F7281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no se responsabiliza de la pérdida o robo del Código. El C</w:t>
      </w:r>
      <w:r w:rsidR="00F82E26" w:rsidRPr="00C90E3F">
        <w:rPr>
          <w:rFonts w:eastAsia="Times New Roman" w:cs="Times New Roman"/>
          <w:sz w:val="24"/>
          <w:szCs w:val="24"/>
          <w:lang w:val="es-ES"/>
        </w:rPr>
        <w:t>ódigo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se encuentra bajo su exclusiva responsabilidad.</w:t>
      </w:r>
    </w:p>
    <w:p w:rsidR="009E6C72" w:rsidRPr="00C90E3F" w:rsidRDefault="009E6C7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La utilización del Código con finalidades distintas a las previstas en los presente Términos y Condiciones (i) podrá conllevar la anulación del Código, (</w:t>
      </w:r>
      <w:proofErr w:type="spellStart"/>
      <w:r w:rsidRPr="00C90E3F">
        <w:rPr>
          <w:rFonts w:eastAsia="Times New Roman" w:cs="Times New Roman"/>
          <w:sz w:val="24"/>
          <w:szCs w:val="24"/>
          <w:lang w:val="es-ES"/>
        </w:rPr>
        <w:t>ii</w:t>
      </w:r>
      <w:proofErr w:type="spellEnd"/>
      <w:r w:rsidRPr="00C90E3F">
        <w:rPr>
          <w:rFonts w:eastAsia="Times New Roman" w:cs="Times New Roman"/>
          <w:sz w:val="24"/>
          <w:szCs w:val="24"/>
          <w:lang w:val="es-ES"/>
        </w:rPr>
        <w:t xml:space="preserve">) eximirá en todo caso a </w:t>
      </w:r>
      <w:r w:rsidR="002F7281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de cualquier responsabilidad frente al Cliente y frente al tercero adquirente, reservándose asimismo </w:t>
      </w:r>
      <w:r w:rsidR="002F7281" w:rsidRPr="00C90E3F">
        <w:rPr>
          <w:rFonts w:eastAsia="Times New Roman" w:cs="Times New Roman"/>
          <w:sz w:val="24"/>
          <w:szCs w:val="24"/>
          <w:lang w:val="es-ES"/>
        </w:rPr>
        <w:t>SABA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cuantas acciones les corresponda en derecho.</w:t>
      </w:r>
    </w:p>
    <w:p w:rsidR="009E6C72" w:rsidRPr="00C90E3F" w:rsidRDefault="009E6C72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</w:p>
    <w:p w:rsidR="0033681F" w:rsidRPr="00C90E3F" w:rsidRDefault="009F6620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6. </w:t>
      </w:r>
      <w:r w:rsidR="00FE141D" w:rsidRPr="00C90E3F">
        <w:rPr>
          <w:rFonts w:eastAsia="Times New Roman" w:cs="Times New Roman"/>
          <w:b/>
          <w:caps/>
          <w:sz w:val="24"/>
          <w:szCs w:val="24"/>
          <w:lang w:val="es-ES"/>
        </w:rPr>
        <w:t>Derecho de desistimiento y reembolso</w:t>
      </w:r>
    </w:p>
    <w:p w:rsidR="00F82B33" w:rsidRPr="00C90E3F" w:rsidRDefault="00C53E17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SABA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le informa que</w:t>
      </w:r>
      <w:r w:rsidR="00F618C0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con sujeción a las condiciones establecidas en la presente cláusula,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tendrá derecho a desistir de los mismos sin necesidad de justificación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respecto</w:t>
      </w:r>
      <w:r w:rsidR="00F82B33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siguientes Servicios:</w:t>
      </w:r>
    </w:p>
    <w:p w:rsidR="00352858" w:rsidRPr="00C90E3F" w:rsidRDefault="00D74266" w:rsidP="00352858">
      <w:pPr>
        <w:pStyle w:val="Prrafodelista"/>
        <w:numPr>
          <w:ilvl w:val="0"/>
          <w:numId w:val="10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Abonos</w:t>
      </w:r>
      <w:r w:rsidR="00352858"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proofErr w:type="spellStart"/>
      <w:r w:rsidR="00352858"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multidías</w:t>
      </w:r>
      <w:proofErr w:type="spellEnd"/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en un plazo de 1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días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hábiles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desde la contratación online del Servicio salvo que el Cliente haga uso del abono</w:t>
      </w:r>
      <w:r w:rsidR="0035285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="0035285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multidía</w:t>
      </w:r>
      <w:proofErr w:type="spellEnd"/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con anterioridad, en cuyo caso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cesa</w:t>
      </w:r>
      <w:r w:rsidR="00795F83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su derecho a partir de dicho momento, rigiéndose </w:t>
      </w:r>
      <w:r w:rsidR="00527C00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por los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términos y condiciones</w:t>
      </w:r>
      <w:r w:rsidR="00527C00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su contrato de abono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352858" w:rsidRPr="00C90E3F" w:rsidRDefault="00352858" w:rsidP="00352858">
      <w:p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No será posible desist</w:t>
      </w:r>
      <w:r w:rsidR="00DF4101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ir del </w:t>
      </w:r>
      <w:proofErr w:type="spellStart"/>
      <w:r w:rsidR="00DF4101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multidía</w:t>
      </w:r>
      <w:proofErr w:type="spellEnd"/>
      <w:r w:rsidR="00DF4101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a partir del  primer día para el cual el </w:t>
      </w:r>
      <w:proofErr w:type="spellStart"/>
      <w:r w:rsidR="00DF4101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multidía</w:t>
      </w:r>
      <w:proofErr w:type="spellEnd"/>
      <w:r w:rsidR="00DF4101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fue contratado, dado que este producto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se comercializa como un paquete unitario, en el que SABA aplica bonificaciones sobre el precio teniendo en cuenta esa contratación unitaria. </w:t>
      </w:r>
    </w:p>
    <w:p w:rsidR="00F82B33" w:rsidRPr="00C90E3F" w:rsidRDefault="00F82B33" w:rsidP="00352858">
      <w:pPr>
        <w:pStyle w:val="Prrafodelista"/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527C00" w:rsidRPr="00C90E3F" w:rsidRDefault="00443D2D" w:rsidP="00527C00">
      <w:pPr>
        <w:pStyle w:val="Prrafodelista"/>
        <w:numPr>
          <w:ilvl w:val="0"/>
          <w:numId w:val="10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Vales Horarios</w:t>
      </w:r>
      <w:proofErr w:type="gramStart"/>
      <w:r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n un plazo de 1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días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hábiles 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desde la contratación online del Servicio salvo que el Cliente haga uso del 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Servicio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con anterioridad, en cuyo caso el derecho de desistimiento decaerá con la utilización del primer día/hora/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peso</w:t>
      </w:r>
      <w:r w:rsidR="00D7426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aparcamiento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según corresponda</w:t>
      </w:r>
      <w:r w:rsidR="00527C00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, atendiendo a que el servicio se comercializa como un paquete </w:t>
      </w:r>
      <w:r w:rsidR="00527C00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unitario, en el que SABA aplica bonificaciones sobre el precio  teniendo en cuenta esa contratación unitaria. </w:t>
      </w:r>
    </w:p>
    <w:p w:rsidR="00CA7BA2" w:rsidRPr="00C90E3F" w:rsidRDefault="00CA7BA2" w:rsidP="00CA7BA2">
      <w:pPr>
        <w:pStyle w:val="Prrafodelista"/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En aquellos productos en que sea necesario que el canje se realice físicamente en el aparcamiento, y se haya procedido por el cliente a la retirada de los tickets que dan derecho a la utilización del servicio, el derecho de desistimiento deberá realizarse físicamente en el mismo aparcamiento en que se realizó el canje, procediendo a la devolución de la totalidad del producto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74266" w:rsidRPr="00C90E3F" w:rsidRDefault="00D74266" w:rsidP="00527C00">
      <w:pPr>
        <w:pStyle w:val="Prrafodelista"/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74266" w:rsidRPr="00C90E3F" w:rsidRDefault="00D74266" w:rsidP="00D74266">
      <w:pPr>
        <w:pStyle w:val="Prrafodelista"/>
        <w:numPr>
          <w:ilvl w:val="0"/>
          <w:numId w:val="10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Campañas promocionales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estarán sujetas en los términos que se establezcan en la oferta, promoción, publ</w:t>
      </w:r>
      <w:r w:rsidR="00D66DF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icidad o en el propio contrato.</w:t>
      </w:r>
    </w:p>
    <w:p w:rsidR="006E4326" w:rsidRPr="00C90E3F" w:rsidRDefault="003E5F16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El plazo de desistimiento expirará a los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795F83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días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hábiles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del día de la contratación de los </w:t>
      </w:r>
      <w:r w:rsidR="0031711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Servicios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E5F16" w:rsidRPr="00C90E3F" w:rsidRDefault="003E5F16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Para ejercer el dere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cho de desistimiento, el 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deberá notificar a la 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dirección de correo electrónico</w:t>
      </w:r>
      <w:r w:rsidR="00443D2D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ventas@saba-chile.cl</w:t>
      </w:r>
      <w:bookmarkStart w:id="0" w:name="_GoBack"/>
      <w:bookmarkEnd w:id="0"/>
      <w:r w:rsidR="006C51DC" w:rsidRPr="006C51DC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  <w:lang w:val="es-ES"/>
        </w:rPr>
        <w:t>,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indicando en el asunto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del mismo “</w:t>
      </w:r>
      <w:r w:rsidR="00C53E17"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Baja (Nombre del Servicio contratado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” su decisión de desistir del contrato a través de una declaración ineq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uívoca. A tal efecto, el 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podrá utilizar el modelo de formulario de desistimiento que figura en el </w:t>
      </w:r>
      <w:r w:rsidRPr="00E63C34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Anexo</w:t>
      </w:r>
      <w:r w:rsidR="00E75E43" w:rsidRPr="00E63C34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aunque su uso no es obligatorio.</w:t>
      </w:r>
    </w:p>
    <w:p w:rsidR="003E5F16" w:rsidRPr="00C90E3F" w:rsidRDefault="003E5F16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En caso de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desistimiento por su parte, SABA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17DF" w:rsidRPr="00C90E3F">
        <w:rPr>
          <w:rFonts w:eastAsia="Times New Roman" w:cs="Times New Roman"/>
          <w:sz w:val="24"/>
          <w:szCs w:val="24"/>
          <w:lang w:val="es-ES"/>
        </w:rPr>
        <w:t>comunicará vía e-mail el acuse de recibo de su desistimiento y procederá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la devolución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todos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los pagos recibidos del 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, sin ninguna demora indebida y, en todo caso, a más tardar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45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días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hábiles</w:t>
      </w:r>
      <w:r w:rsidR="00795F83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C53E1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partir de la fecha en la que el Cliente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informe a SABA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su decisión de desistir del presente 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Servicio contratado. SABA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procederá a efectuar dicho reembolso utilizando el mismo medio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pago empleado por el 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para la transacción inici</w:t>
      </w:r>
      <w:r w:rsidR="000A17DF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al</w:t>
      </w:r>
      <w:r w:rsidR="00DD60F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en todo caso, no incurrirá en ningún gasto como consecuencia del reembolso. </w:t>
      </w:r>
    </w:p>
    <w:p w:rsidR="000A17DF" w:rsidRPr="00C90E3F" w:rsidRDefault="000A17DF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 xml:space="preserve">El reembolso se considerará ejecutado si el Cliente no lo rechaza en el plazo de catorce (14) días </w:t>
      </w:r>
      <w:r w:rsidR="00795F83">
        <w:rPr>
          <w:rFonts w:eastAsia="Times New Roman" w:cs="Times New Roman"/>
          <w:sz w:val="24"/>
          <w:szCs w:val="24"/>
          <w:lang w:val="es-ES"/>
        </w:rPr>
        <w:t>hábiles</w:t>
      </w:r>
      <w:r w:rsidR="00795F83"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C90E3F">
        <w:rPr>
          <w:rFonts w:eastAsia="Times New Roman" w:cs="Times New Roman"/>
          <w:sz w:val="24"/>
          <w:szCs w:val="24"/>
          <w:lang w:val="es-ES"/>
        </w:rPr>
        <w:t>desde la fecha de recepción. El ejercicio del derecho de desistimiento extinguirá las obligaciones de SABA con el Cliente en relación con el Servicio sobre el que haya desistido.</w:t>
      </w:r>
    </w:p>
    <w:p w:rsidR="00AB7AB5" w:rsidRPr="00C90E3F" w:rsidRDefault="00F618C0" w:rsidP="00DF18F6">
      <w:pPr>
        <w:spacing w:after="120"/>
        <w:jc w:val="both"/>
        <w:textAlignment w:val="baseline"/>
        <w:rPr>
          <w:rStyle w:val="Refdecomentario"/>
          <w:sz w:val="24"/>
          <w:szCs w:val="24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Las presentes condiciones sólo serán aplicables en caso de que el Cliente sea consumidor y usuario de conformidad con la definición establecida en </w:t>
      </w:r>
      <w:r w:rsidR="00795F83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la Ley N° 19.496 sobre protección de los derechos de los consumidores. </w:t>
      </w:r>
    </w:p>
    <w:p w:rsidR="00125291" w:rsidRPr="00C90E3F" w:rsidRDefault="00125291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022CA9" w:rsidRPr="00C90E3F" w:rsidRDefault="009F6620" w:rsidP="00C4126F">
      <w:pPr>
        <w:spacing w:after="120"/>
        <w:jc w:val="both"/>
        <w:rPr>
          <w:rFonts w:eastAsia="Times New Roman" w:cs="Times New Roman"/>
          <w:b/>
          <w:cap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7. </w:t>
      </w:r>
      <w:r w:rsidR="005B5622" w:rsidRPr="00C90E3F">
        <w:rPr>
          <w:rFonts w:eastAsia="Times New Roman" w:cs="Times New Roman"/>
          <w:b/>
          <w:caps/>
          <w:sz w:val="24"/>
          <w:szCs w:val="24"/>
          <w:lang w:val="es-ES"/>
        </w:rPr>
        <w:t xml:space="preserve">Responsabilidad </w:t>
      </w:r>
    </w:p>
    <w:p w:rsidR="00560A01" w:rsidRPr="00C90E3F" w:rsidRDefault="00022CA9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SABA no será responsable de ningún retraso o incumplimiento de sus obligaciones si dicho retraso o incumplimiento fuese debido a circunstancias ajenas a nuestro control razonable. </w:t>
      </w:r>
    </w:p>
    <w:p w:rsidR="00022CA9" w:rsidRPr="00C90E3F" w:rsidRDefault="00022CA9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Salvo que expresamente se disponga lo contrario en los presentes Términos y Condiciones, la responsabilidad de SABA estará limitada estrictamente al precio de compra del Servicio.</w:t>
      </w:r>
    </w:p>
    <w:p w:rsidR="00022CA9" w:rsidRPr="00C90E3F" w:rsidRDefault="00022CA9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Lo dispuesto en la presente cláusula no afectará a los derechos legales que le correspondan como consumidor y usuario, ni a su derecho a desistir del Contrato.</w:t>
      </w:r>
    </w:p>
    <w:p w:rsidR="00882719" w:rsidRPr="00C90E3F" w:rsidRDefault="00882719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</w:p>
    <w:p w:rsidR="00882719" w:rsidRPr="00C90E3F" w:rsidRDefault="001939FD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bCs/>
          <w:sz w:val="24"/>
          <w:szCs w:val="24"/>
          <w:lang w:val="es-ES"/>
        </w:rPr>
        <w:t>8</w:t>
      </w:r>
      <w:r w:rsidR="00882719" w:rsidRPr="00C90E3F">
        <w:rPr>
          <w:rFonts w:eastAsia="Times New Roman" w:cs="Times New Roman"/>
          <w:b/>
          <w:bCs/>
          <w:sz w:val="24"/>
          <w:szCs w:val="24"/>
          <w:lang w:val="es-ES"/>
        </w:rPr>
        <w:t>. CONFIDENCIALIDAD Y PRIVACIDAD</w:t>
      </w:r>
      <w:r w:rsidR="005919B4" w:rsidRPr="00C90E3F">
        <w:rPr>
          <w:rFonts w:eastAsia="Times New Roman" w:cs="Times New Roman"/>
          <w:b/>
          <w:bCs/>
          <w:sz w:val="24"/>
          <w:szCs w:val="24"/>
          <w:lang w:val="es-ES"/>
        </w:rPr>
        <w:t>.</w:t>
      </w:r>
      <w:r w:rsidR="00882719" w:rsidRPr="00C90E3F">
        <w:rPr>
          <w:rFonts w:eastAsia="Times New Roman" w:cs="Times New Roman"/>
          <w:b/>
          <w:bCs/>
          <w:sz w:val="24"/>
          <w:szCs w:val="24"/>
          <w:lang w:val="es-ES"/>
        </w:rPr>
        <w:t xml:space="preserve"> </w:t>
      </w:r>
    </w:p>
    <w:p w:rsidR="00882719" w:rsidRPr="00C90E3F" w:rsidRDefault="00882719" w:rsidP="00C4126F">
      <w:pPr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C90E3F">
        <w:rPr>
          <w:rFonts w:eastAsia="Times New Roman" w:cs="Times New Roman"/>
          <w:bCs/>
          <w:sz w:val="24"/>
          <w:szCs w:val="24"/>
        </w:rPr>
        <w:t>Con la aceptación de los presentes Términos y Condiciones, tal y como se ha previsto al inicio de</w:t>
      </w:r>
      <w:r w:rsidR="005919B4" w:rsidRPr="00C90E3F">
        <w:rPr>
          <w:rFonts w:eastAsia="Times New Roman" w:cs="Times New Roman"/>
          <w:bCs/>
          <w:sz w:val="24"/>
          <w:szCs w:val="24"/>
        </w:rPr>
        <w:t>l presente documento, el Cliente</w:t>
      </w:r>
      <w:r w:rsidRPr="00C90E3F">
        <w:rPr>
          <w:rFonts w:eastAsia="Times New Roman" w:cs="Times New Roman"/>
          <w:bCs/>
          <w:sz w:val="24"/>
          <w:szCs w:val="24"/>
        </w:rPr>
        <w:t xml:space="preserve"> acepta expresamente y manifiesta conocer la Polít</w:t>
      </w:r>
      <w:r w:rsidR="005919B4" w:rsidRPr="00C90E3F">
        <w:rPr>
          <w:rFonts w:eastAsia="Times New Roman" w:cs="Times New Roman"/>
          <w:bCs/>
          <w:sz w:val="24"/>
          <w:szCs w:val="24"/>
        </w:rPr>
        <w:t>ica de Privacidad y de Cookies</w:t>
      </w:r>
      <w:r w:rsidRPr="00C90E3F">
        <w:rPr>
          <w:rFonts w:eastAsia="Times New Roman" w:cs="Times New Roman"/>
          <w:bCs/>
          <w:sz w:val="24"/>
          <w:szCs w:val="24"/>
        </w:rPr>
        <w:t xml:space="preserve">, que también rigen el uso que realice de los </w:t>
      </w:r>
      <w:r w:rsidR="0031711F" w:rsidRPr="00C90E3F">
        <w:rPr>
          <w:rFonts w:eastAsia="Times New Roman" w:cs="Times New Roman"/>
          <w:bCs/>
          <w:sz w:val="24"/>
          <w:szCs w:val="24"/>
        </w:rPr>
        <w:t>Servicios</w:t>
      </w:r>
      <w:r w:rsidRPr="00C90E3F">
        <w:rPr>
          <w:rFonts w:eastAsia="Times New Roman" w:cs="Times New Roman"/>
          <w:bCs/>
          <w:sz w:val="24"/>
          <w:szCs w:val="24"/>
        </w:rPr>
        <w:t>.</w:t>
      </w:r>
    </w:p>
    <w:p w:rsidR="00D55136" w:rsidRPr="00C90E3F" w:rsidRDefault="00D55136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highlight w:val="green"/>
          <w:lang w:val="es-ES"/>
        </w:rPr>
      </w:pPr>
    </w:p>
    <w:p w:rsidR="00882719" w:rsidRPr="00C90E3F" w:rsidRDefault="00811DCC" w:rsidP="00C4126F">
      <w:pPr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C90E3F">
        <w:rPr>
          <w:rFonts w:eastAsia="Times New Roman" w:cs="Times New Roman"/>
          <w:b/>
          <w:bCs/>
          <w:sz w:val="24"/>
          <w:szCs w:val="24"/>
          <w:lang w:val="es-ES"/>
        </w:rPr>
        <w:t>9</w:t>
      </w:r>
      <w:r w:rsidR="00882719" w:rsidRPr="00C90E3F">
        <w:rPr>
          <w:rFonts w:eastAsia="Times New Roman" w:cs="Times New Roman"/>
          <w:b/>
          <w:bCs/>
          <w:sz w:val="24"/>
          <w:szCs w:val="24"/>
          <w:lang w:val="es-ES"/>
        </w:rPr>
        <w:t xml:space="preserve">. DURACIÓN </w:t>
      </w:r>
      <w:r w:rsidR="001939FD" w:rsidRPr="00C90E3F">
        <w:rPr>
          <w:rFonts w:eastAsia="Times New Roman" w:cs="Times New Roman"/>
          <w:b/>
          <w:bCs/>
          <w:sz w:val="24"/>
          <w:szCs w:val="24"/>
          <w:lang w:val="es-ES"/>
        </w:rPr>
        <w:t xml:space="preserve">Y TERMINACIÓN </w:t>
      </w:r>
      <w:r w:rsidR="0031711F" w:rsidRPr="00C90E3F">
        <w:rPr>
          <w:rFonts w:eastAsia="Times New Roman" w:cs="Times New Roman"/>
          <w:b/>
          <w:bCs/>
          <w:sz w:val="24"/>
          <w:szCs w:val="24"/>
          <w:lang w:val="es-ES"/>
        </w:rPr>
        <w:t>DEL CONTRATO</w:t>
      </w:r>
    </w:p>
    <w:p w:rsidR="00882719" w:rsidRPr="00C90E3F" w:rsidRDefault="001939FD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Los presentes Términos y Condiciones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 xml:space="preserve"> tendrá</w:t>
      </w:r>
      <w:r w:rsidRPr="00C90E3F">
        <w:rPr>
          <w:rFonts w:eastAsia="Times New Roman" w:cs="Times New Roman"/>
          <w:sz w:val="24"/>
          <w:szCs w:val="24"/>
          <w:lang w:val="es-ES"/>
        </w:rPr>
        <w:t>n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 xml:space="preserve"> una duración indefinida.</w:t>
      </w:r>
    </w:p>
    <w:p w:rsidR="003E5F16" w:rsidRPr="00C90E3F" w:rsidRDefault="00E63C34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En el caso de que el Cliente cancele su registro, l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a cuenta del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Cliente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762E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de la Oficina Virtual 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y toda la información recogida y almacenada se borrará. La cancelación de dichos datos de acceso conllevará la de todas las claves de acceso a las cuentas, y la información, de las entidades financieras, entidades de pago o proveedores de servicios financieros u otros no financieros con cuyos datos opere el Sitio Web. En consecuencia, no será posible vincular dichas claves al identificador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ya cancelado del antiguo Cliente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. Por su parte,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SABA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podrá cancelar el Servicio mediante comunicación enviada al correo electrónico asoc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iado y/o indicado por el Cliente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con una antelación de quince (15) días. No será necesario alegar causa alguna; la cancelaci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ón del Servicio por parte de SABA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no da derecho a compensación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alguna, sin prejuicio de que SABA restituya al Cliente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las cantidades abonadas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y no disfrutadas por el Cliente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como consecuencia de la cancelación anticipada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la relación por parte de SABA</w:t>
      </w:r>
      <w:r w:rsidR="003E5F16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E5F16" w:rsidRPr="00C90E3F" w:rsidRDefault="003E5F16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Este preaviso no será necesario en el caso de que se suspenda el Servicio a consecuencia de la utilización incorrecta del Sitio Web o de la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cuenta de la Oficina Virtual por parte del 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, que pudiera incidir negativamente en su prestación o en el supuesto de incumplimiento grave de cualesquiera otras obligaciones del 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Cliente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incluido el estar al corriente de pago</w:t>
      </w:r>
      <w:r w:rsidR="001939FD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servicios de pago de SABA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para disfrutar de los mismos. </w:t>
      </w:r>
    </w:p>
    <w:p w:rsidR="00C90E3F" w:rsidRDefault="00C90E3F" w:rsidP="00C4126F">
      <w:pPr>
        <w:spacing w:after="120"/>
        <w:jc w:val="both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C90E3F" w:rsidRDefault="00C90E3F" w:rsidP="00C4126F">
      <w:pPr>
        <w:spacing w:after="120"/>
        <w:jc w:val="both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0577A8" w:rsidRPr="00C90E3F" w:rsidRDefault="00BE236C" w:rsidP="00C4126F">
      <w:pPr>
        <w:spacing w:after="120"/>
        <w:jc w:val="both"/>
        <w:textAlignment w:val="baseline"/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0577A8" w:rsidRPr="00C90E3F">
        <w:rPr>
          <w:rFonts w:eastAsia="Times New Roman" w:cs="Arial"/>
          <w:b/>
          <w:sz w:val="24"/>
          <w:szCs w:val="24"/>
          <w:bdr w:val="none" w:sz="0" w:space="0" w:color="auto" w:frame="1"/>
          <w:shd w:val="clear" w:color="auto" w:fill="FFFFFF"/>
        </w:rPr>
        <w:t>. CANCELACIÓN DE LOS SERVICIOS</w:t>
      </w:r>
    </w:p>
    <w:p w:rsidR="000577A8" w:rsidRPr="00C90E3F" w:rsidRDefault="000577A8" w:rsidP="00C4126F">
      <w:pPr>
        <w:spacing w:after="12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El Cliente podrá cancelar los Servicios de conformidad con los siguientes términos:</w:t>
      </w:r>
    </w:p>
    <w:p w:rsidR="000577A8" w:rsidRPr="00C90E3F" w:rsidRDefault="000577A8" w:rsidP="000577A8">
      <w:pPr>
        <w:pStyle w:val="Prrafodelista"/>
        <w:numPr>
          <w:ilvl w:val="0"/>
          <w:numId w:val="12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Abonos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: los abonos se pueden dar de baja antes del día 25 del mes anterior.</w:t>
      </w:r>
      <w:r w:rsidR="008279E0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Para ello debe informar al estacionamiento donde el mismo fue activado, o al mail ventas@saba-</w:t>
      </w:r>
      <w:proofErr w:type="gramStart"/>
      <w:r w:rsidR="008279E0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chile.c ,</w:t>
      </w:r>
      <w:proofErr w:type="gramEnd"/>
      <w:r w:rsidR="008279E0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indicando razones de </w:t>
      </w:r>
      <w:r w:rsidR="00B65499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solicitud</w:t>
      </w:r>
      <w:r w:rsidR="008279E0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 término de servicio.</w:t>
      </w:r>
    </w:p>
    <w:p w:rsidR="000577A8" w:rsidRPr="00C90E3F" w:rsidRDefault="00443D2D" w:rsidP="000577A8">
      <w:pPr>
        <w:pStyle w:val="Prrafodelista"/>
        <w:numPr>
          <w:ilvl w:val="0"/>
          <w:numId w:val="12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Vale Horario y </w:t>
      </w:r>
      <w:proofErr w:type="spellStart"/>
      <w:r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Multidia</w:t>
      </w:r>
      <w:proofErr w:type="spellEnd"/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D66DF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el uso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del primer día/hora/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de aparcamiento</w:t>
      </w:r>
      <w:r w:rsidR="00D66DF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577A8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 según corresponda</w:t>
      </w:r>
      <w:r w:rsidR="00D66DF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, dará lugar a la ejecución </w:t>
      </w:r>
      <w:r w:rsidR="00BE236C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 xml:space="preserve">completa </w:t>
      </w:r>
      <w:r w:rsidR="00D66DF7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del contrato, sin que exista derecho a la cancelación parcial del Servicio</w:t>
      </w:r>
      <w:r w:rsidR="00CA7BA2"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atendiendo a que el servicio se comercializa como un paquete unitario, en el que SABA aplica bonificaciones sobre el precio teniendo en cuenta esa contratación unitaria.</w:t>
      </w:r>
    </w:p>
    <w:p w:rsidR="00F77869" w:rsidRDefault="00D66DF7" w:rsidP="00C4126F">
      <w:pPr>
        <w:pStyle w:val="Prrafodelista"/>
        <w:numPr>
          <w:ilvl w:val="0"/>
          <w:numId w:val="12"/>
        </w:numPr>
        <w:spacing w:after="120"/>
        <w:ind w:left="851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</w:pPr>
      <w:r w:rsidRPr="00C90E3F">
        <w:rPr>
          <w:rFonts w:eastAsia="Times New Roman" w:cs="Arial"/>
          <w:i/>
          <w:sz w:val="24"/>
          <w:szCs w:val="24"/>
          <w:bdr w:val="none" w:sz="0" w:space="0" w:color="auto" w:frame="1"/>
          <w:shd w:val="clear" w:color="auto" w:fill="FFFFFF"/>
        </w:rPr>
        <w:t>Campañas promocionales</w:t>
      </w:r>
      <w:r w:rsidRPr="00C90E3F">
        <w:rPr>
          <w:rFonts w:eastAsia="Times New Roman" w:cs="Arial"/>
          <w:sz w:val="24"/>
          <w:szCs w:val="24"/>
          <w:bdr w:val="none" w:sz="0" w:space="0" w:color="auto" w:frame="1"/>
          <w:shd w:val="clear" w:color="auto" w:fill="FFFFFF"/>
        </w:rPr>
        <w:t>, estarán sujetas en los términos que se establezcan en la oferta, promoción, publicidad o en el propio contrato.</w:t>
      </w:r>
    </w:p>
    <w:p w:rsidR="00F77869" w:rsidRPr="00F77869" w:rsidRDefault="00F77869" w:rsidP="00F77869">
      <w:pPr>
        <w:spacing w:after="120"/>
        <w:ind w:left="131"/>
        <w:jc w:val="both"/>
        <w:textAlignment w:val="baseline"/>
        <w:rPr>
          <w:b/>
          <w:bCs/>
          <w:iCs/>
          <w:sz w:val="24"/>
          <w:szCs w:val="24"/>
        </w:rPr>
      </w:pPr>
    </w:p>
    <w:p w:rsidR="00882719" w:rsidRPr="00C90E3F" w:rsidRDefault="001939FD" w:rsidP="00C4126F">
      <w:pPr>
        <w:spacing w:after="120"/>
        <w:jc w:val="both"/>
        <w:rPr>
          <w:rFonts w:eastAsia="Times New Roman" w:cs="Times New Roman"/>
          <w:b/>
          <w:bCs/>
          <w:sz w:val="24"/>
          <w:szCs w:val="24"/>
          <w:lang w:val="es-ES"/>
        </w:rPr>
      </w:pPr>
      <w:r w:rsidRPr="00C90E3F">
        <w:rPr>
          <w:rFonts w:eastAsia="Times New Roman" w:cs="Times New Roman"/>
          <w:b/>
          <w:bCs/>
          <w:sz w:val="24"/>
          <w:szCs w:val="24"/>
          <w:lang w:val="es-ES"/>
        </w:rPr>
        <w:t>1</w:t>
      </w:r>
      <w:r w:rsidR="00795F83">
        <w:rPr>
          <w:rFonts w:eastAsia="Times New Roman" w:cs="Times New Roman"/>
          <w:b/>
          <w:bCs/>
          <w:sz w:val="24"/>
          <w:szCs w:val="24"/>
          <w:lang w:val="es-ES"/>
        </w:rPr>
        <w:t>1</w:t>
      </w:r>
      <w:r w:rsidR="0031711F" w:rsidRPr="00C90E3F">
        <w:rPr>
          <w:rFonts w:eastAsia="Times New Roman" w:cs="Times New Roman"/>
          <w:b/>
          <w:bCs/>
          <w:sz w:val="24"/>
          <w:szCs w:val="24"/>
          <w:lang w:val="es-ES"/>
        </w:rPr>
        <w:t>. VALIDEZ Y ACUERDO COMPLETO</w:t>
      </w:r>
    </w:p>
    <w:p w:rsidR="00882719" w:rsidRPr="00C90E3F" w:rsidRDefault="00882719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La declaración de nulidad o invalidez de cualq</w:t>
      </w:r>
      <w:r w:rsidR="005919B4" w:rsidRPr="00C90E3F">
        <w:rPr>
          <w:rFonts w:eastAsia="Times New Roman" w:cs="Times New Roman"/>
          <w:sz w:val="24"/>
          <w:szCs w:val="24"/>
          <w:lang w:val="es-ES"/>
        </w:rPr>
        <w:t>uier estipulación contenida en los presentes Términos y Condiciones</w:t>
      </w:r>
      <w:r w:rsidRPr="00C90E3F">
        <w:rPr>
          <w:rFonts w:eastAsia="Times New Roman" w:cs="Times New Roman"/>
          <w:sz w:val="24"/>
          <w:szCs w:val="24"/>
          <w:lang w:val="es-ES"/>
        </w:rPr>
        <w:t>, no afectará a la validez y eficacia de las demás cláusulas.</w:t>
      </w:r>
    </w:p>
    <w:p w:rsidR="00882719" w:rsidRPr="00C90E3F" w:rsidRDefault="005919B4" w:rsidP="00C4126F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  <w:r w:rsidRPr="00C90E3F">
        <w:rPr>
          <w:rFonts w:eastAsia="Times New Roman" w:cs="Times New Roman"/>
          <w:sz w:val="24"/>
          <w:szCs w:val="24"/>
          <w:lang w:val="es-ES"/>
        </w:rPr>
        <w:t>Lo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>s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presentes Términos y Condiciones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 xml:space="preserve"> </w:t>
      </w:r>
      <w:r w:rsidRPr="00C90E3F">
        <w:rPr>
          <w:rFonts w:eastAsia="Times New Roman" w:cs="Times New Roman"/>
          <w:sz w:val="24"/>
          <w:szCs w:val="24"/>
          <w:lang w:val="es-ES"/>
        </w:rPr>
        <w:t>de los S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>ervicios prestados por</w:t>
      </w:r>
      <w:r w:rsidRPr="00C90E3F">
        <w:rPr>
          <w:rFonts w:eastAsia="Times New Roman" w:cs="Times New Roman"/>
          <w:sz w:val="24"/>
          <w:szCs w:val="24"/>
          <w:lang w:val="es-ES"/>
        </w:rPr>
        <w:t xml:space="preserve"> SABA a través del Sitio Web, así como el Aviso Legal 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>y la Política de Privacidad y de Cookies</w:t>
      </w:r>
      <w:r w:rsidRPr="00C90E3F">
        <w:rPr>
          <w:rFonts w:eastAsia="Times New Roman" w:cs="Times New Roman"/>
          <w:iCs/>
          <w:sz w:val="24"/>
          <w:szCs w:val="24"/>
          <w:lang w:val="es-ES"/>
        </w:rPr>
        <w:t xml:space="preserve">, </w:t>
      </w:r>
      <w:r w:rsidR="00882719" w:rsidRPr="00C90E3F">
        <w:rPr>
          <w:rFonts w:eastAsia="Times New Roman" w:cs="Times New Roman"/>
          <w:sz w:val="24"/>
          <w:szCs w:val="24"/>
          <w:lang w:val="es-ES"/>
        </w:rPr>
        <w:t>constituyen el acuerdo total entre las partes, considerándose de rango superior a cualquier acuerdo previo escrito o verbal, entendimiento, afirmación, representación, negociación o propósito de acuerdo en relación con esta materia.</w:t>
      </w:r>
    </w:p>
    <w:p w:rsidR="005919B4" w:rsidRPr="00C90E3F" w:rsidRDefault="005919B4" w:rsidP="00C4126F">
      <w:pPr>
        <w:spacing w:after="120"/>
        <w:jc w:val="both"/>
        <w:rPr>
          <w:rFonts w:eastAsia="Times New Roman" w:cs="Times New Roman"/>
          <w:b/>
          <w:bCs/>
          <w:caps/>
          <w:kern w:val="36"/>
          <w:sz w:val="24"/>
          <w:szCs w:val="24"/>
          <w:lang w:val="es-ES"/>
        </w:rPr>
      </w:pPr>
    </w:p>
    <w:p w:rsidR="005919B4" w:rsidRPr="00C90E3F" w:rsidRDefault="001939FD" w:rsidP="00C4126F">
      <w:pPr>
        <w:shd w:val="clear" w:color="auto" w:fill="FFFFFF"/>
        <w:spacing w:after="120"/>
        <w:jc w:val="both"/>
        <w:rPr>
          <w:rFonts w:eastAsia="Times New Roman" w:cs="Arial"/>
          <w:b/>
          <w:bCs/>
          <w:sz w:val="24"/>
          <w:szCs w:val="24"/>
          <w:lang w:val="es-ES"/>
        </w:rPr>
      </w:pPr>
      <w:r w:rsidRPr="00C90E3F">
        <w:rPr>
          <w:rFonts w:eastAsia="Times New Roman" w:cs="Arial"/>
          <w:b/>
          <w:bCs/>
          <w:sz w:val="24"/>
          <w:szCs w:val="24"/>
          <w:lang w:val="es-ES"/>
        </w:rPr>
        <w:t>1</w:t>
      </w:r>
      <w:r w:rsidR="00B65499">
        <w:rPr>
          <w:rFonts w:eastAsia="Times New Roman" w:cs="Arial"/>
          <w:b/>
          <w:bCs/>
          <w:sz w:val="24"/>
          <w:szCs w:val="24"/>
          <w:lang w:val="es-ES"/>
        </w:rPr>
        <w:t>2</w:t>
      </w:r>
      <w:r w:rsidR="005919B4" w:rsidRPr="00C90E3F">
        <w:rPr>
          <w:rFonts w:eastAsia="Times New Roman" w:cs="Arial"/>
          <w:b/>
          <w:bCs/>
          <w:sz w:val="24"/>
          <w:szCs w:val="24"/>
          <w:lang w:val="es-ES"/>
        </w:rPr>
        <w:t>. LEGISLACIÓN APLICABLE</w:t>
      </w:r>
    </w:p>
    <w:p w:rsidR="00B5168D" w:rsidRPr="00B5168D" w:rsidRDefault="005919B4" w:rsidP="00795F83">
      <w:pPr>
        <w:shd w:val="clear" w:color="auto" w:fill="FFFFFF"/>
        <w:spacing w:after="120"/>
        <w:jc w:val="both"/>
        <w:rPr>
          <w:sz w:val="24"/>
          <w:szCs w:val="24"/>
          <w:lang w:val="es-ES"/>
        </w:rPr>
      </w:pPr>
      <w:r w:rsidRPr="00C90E3F">
        <w:rPr>
          <w:rFonts w:eastAsia="Times New Roman" w:cs="Arial"/>
          <w:sz w:val="24"/>
          <w:szCs w:val="24"/>
          <w:lang w:val="es-ES"/>
        </w:rPr>
        <w:t xml:space="preserve">La relación entre </w:t>
      </w:r>
      <w:r w:rsidR="002F7281" w:rsidRPr="00E0036E">
        <w:rPr>
          <w:rFonts w:eastAsia="Times New Roman" w:cs="Arial"/>
          <w:sz w:val="24"/>
          <w:szCs w:val="24"/>
          <w:lang w:val="es-ES"/>
        </w:rPr>
        <w:t>SABA</w:t>
      </w:r>
      <w:r w:rsidRPr="00E0036E">
        <w:rPr>
          <w:rFonts w:eastAsia="Times New Roman" w:cs="Arial"/>
          <w:sz w:val="24"/>
          <w:szCs w:val="24"/>
          <w:lang w:val="es-ES"/>
        </w:rPr>
        <w:t xml:space="preserve"> y el Cliente se regirá, a todos los efectos, por la legislación </w:t>
      </w:r>
      <w:r w:rsidR="00795F83">
        <w:rPr>
          <w:rFonts w:eastAsia="Times New Roman" w:cs="Arial"/>
          <w:sz w:val="24"/>
          <w:szCs w:val="24"/>
          <w:lang w:val="es-ES"/>
        </w:rPr>
        <w:t>chilena</w:t>
      </w:r>
      <w:r w:rsidR="00795F83">
        <w:rPr>
          <w:rFonts w:eastAsia="Times New Roman" w:cs="Arial"/>
          <w:sz w:val="24"/>
          <w:szCs w:val="24"/>
        </w:rPr>
        <w:t xml:space="preserve">, </w:t>
      </w:r>
      <w:r w:rsidR="00461A4A" w:rsidRPr="00E0036E">
        <w:rPr>
          <w:rFonts w:cs="Arial"/>
          <w:sz w:val="24"/>
          <w:szCs w:val="24"/>
          <w:lang w:val="es-ES"/>
        </w:rPr>
        <w:t xml:space="preserve">y cualquier controversia se someterá a los Juzgados y Tribunales </w:t>
      </w:r>
      <w:r w:rsidR="00795F83">
        <w:rPr>
          <w:rFonts w:cs="Arial"/>
          <w:sz w:val="24"/>
          <w:szCs w:val="24"/>
          <w:lang w:val="es-ES"/>
        </w:rPr>
        <w:t xml:space="preserve">Ordinarios de Justicia. </w:t>
      </w:r>
    </w:p>
    <w:p w:rsidR="00461A4A" w:rsidRPr="00C90E3F" w:rsidRDefault="00461A4A" w:rsidP="00C4126F">
      <w:pPr>
        <w:spacing w:after="120"/>
        <w:jc w:val="both"/>
        <w:rPr>
          <w:rFonts w:cs="Arial"/>
          <w:sz w:val="24"/>
          <w:szCs w:val="24"/>
          <w:lang w:val="es-ES"/>
        </w:rPr>
      </w:pPr>
    </w:p>
    <w:p w:rsidR="00E75E43" w:rsidRPr="00C90E3F" w:rsidRDefault="00E75E43">
      <w:pPr>
        <w:rPr>
          <w:sz w:val="24"/>
          <w:szCs w:val="24"/>
          <w:lang w:val="es-ES"/>
        </w:rPr>
      </w:pPr>
      <w:r w:rsidRPr="00C90E3F">
        <w:rPr>
          <w:sz w:val="24"/>
          <w:szCs w:val="24"/>
          <w:lang w:val="es-ES"/>
        </w:rPr>
        <w:br w:type="page"/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4E7B20" w:rsidRPr="00C90E3F" w:rsidTr="004E7B20">
        <w:tc>
          <w:tcPr>
            <w:tcW w:w="9606" w:type="dxa"/>
          </w:tcPr>
          <w:p w:rsidR="004E7B20" w:rsidRPr="00C90E3F" w:rsidRDefault="0013305E" w:rsidP="0013305E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C90E3F">
              <w:rPr>
                <w:b/>
                <w:sz w:val="24"/>
                <w:szCs w:val="24"/>
                <w:lang w:val="es-ES"/>
              </w:rPr>
              <w:lastRenderedPageBreak/>
              <w:t>ANEXO 1. COMPAÑÍAS DEL GRUPO SABA</w:t>
            </w:r>
          </w:p>
        </w:tc>
      </w:tr>
    </w:tbl>
    <w:p w:rsidR="00E75E43" w:rsidRPr="00C90E3F" w:rsidRDefault="00E75E43" w:rsidP="00E75E43">
      <w:pPr>
        <w:spacing w:after="120"/>
        <w:jc w:val="both"/>
        <w:rPr>
          <w:rFonts w:eastAsia="Times New Roman" w:cs="Times New Roman"/>
          <w:sz w:val="24"/>
          <w:szCs w:val="24"/>
          <w:lang w:val="es-ES"/>
        </w:rPr>
      </w:pPr>
    </w:p>
    <w:p w:rsidR="00795F83" w:rsidRPr="00C90E3F" w:rsidRDefault="00633FD5" w:rsidP="00C4126F">
      <w:pPr>
        <w:spacing w:after="120"/>
        <w:rPr>
          <w:sz w:val="24"/>
          <w:szCs w:val="24"/>
          <w:lang w:val="es-ES"/>
        </w:rPr>
      </w:pPr>
      <w:proofErr w:type="gramStart"/>
      <w:r>
        <w:rPr>
          <w:rFonts w:cs="Times New Roman"/>
          <w:b/>
          <w:bCs/>
          <w:color w:val="FFFFFF"/>
          <w:szCs w:val="20"/>
          <w:lang w:eastAsia="es-CL"/>
        </w:rPr>
        <w:t>Ojo …</w:t>
      </w:r>
      <w:proofErr w:type="gramEnd"/>
      <w:r>
        <w:rPr>
          <w:rFonts w:cs="Times New Roman"/>
          <w:b/>
          <w:bCs/>
          <w:color w:val="FFFFFF"/>
          <w:szCs w:val="20"/>
          <w:lang w:eastAsia="es-CL"/>
        </w:rPr>
        <w:t xml:space="preserve">solo se vende en estacionamientos concesionados, y subterráneos, los estacionamientos de gestión o superficie no se pueden sumar a esta  venta online pues las decisiones comerciales sobre ellos recae en el mandante </w:t>
      </w:r>
      <w:proofErr w:type="spellStart"/>
      <w:r>
        <w:rPr>
          <w:rFonts w:cs="Times New Roman"/>
          <w:b/>
          <w:bCs/>
          <w:color w:val="FFFFFF"/>
          <w:szCs w:val="20"/>
          <w:lang w:eastAsia="es-CL"/>
        </w:rPr>
        <w:t>rspectivo</w:t>
      </w:r>
      <w:proofErr w:type="spellEnd"/>
      <w:r>
        <w:rPr>
          <w:rFonts w:cs="Times New Roman"/>
          <w:b/>
          <w:bCs/>
          <w:color w:val="FFFFFF"/>
          <w:szCs w:val="20"/>
          <w:lang w:eastAsia="es-CL"/>
        </w:rPr>
        <w:t>, y en el caso de superficie ( San  Bernardo) no es posible generar venta de productos.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93"/>
        <w:gridCol w:w="3238"/>
        <w:gridCol w:w="2291"/>
        <w:gridCol w:w="1633"/>
      </w:tblGrid>
      <w:tr w:rsidR="00795F83" w:rsidTr="00795F83">
        <w:trPr>
          <w:trHeight w:val="248"/>
        </w:trPr>
        <w:tc>
          <w:tcPr>
            <w:tcW w:w="2293" w:type="dxa"/>
            <w:shd w:val="clear" w:color="auto" w:fill="00A899"/>
          </w:tcPr>
          <w:p w:rsidR="00795F83" w:rsidRDefault="00795F83" w:rsidP="00125F0A">
            <w:pPr>
              <w:jc w:val="center"/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</w:pPr>
            <w:r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  <w:t>Sociedad</w:t>
            </w:r>
          </w:p>
        </w:tc>
        <w:tc>
          <w:tcPr>
            <w:tcW w:w="3238" w:type="dxa"/>
            <w:shd w:val="clear" w:color="auto" w:fill="00A899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</w:pPr>
            <w:r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  <w:t>Nombre Estacionamiento</w:t>
            </w:r>
          </w:p>
        </w:tc>
        <w:tc>
          <w:tcPr>
            <w:tcW w:w="2291" w:type="dxa"/>
            <w:shd w:val="clear" w:color="auto" w:fill="00A899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</w:pPr>
            <w:r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  <w:t>Naturaleza contractual</w:t>
            </w:r>
          </w:p>
        </w:tc>
        <w:tc>
          <w:tcPr>
            <w:tcW w:w="1633" w:type="dxa"/>
            <w:shd w:val="clear" w:color="auto" w:fill="00A899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</w:pPr>
            <w:r>
              <w:rPr>
                <w:rFonts w:cs="Times New Roman"/>
                <w:b/>
                <w:bCs/>
                <w:color w:val="FFFFFF"/>
                <w:szCs w:val="20"/>
                <w:lang w:eastAsia="es-CL"/>
              </w:rPr>
              <w:t>Comuna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MARCHANT PEREIRA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795F83" w:rsidRDefault="00795F83" w:rsidP="00795F83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PROVIDENCIA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PEDRO DE VALDIVIA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hideMark/>
          </w:tcPr>
          <w:p w:rsidR="00795F83" w:rsidRDefault="00795F83" w:rsidP="00125F0A">
            <w:pPr>
              <w:jc w:val="center"/>
            </w:pPr>
            <w:r w:rsidRPr="006C7499">
              <w:rPr>
                <w:rFonts w:cs="Times New Roman"/>
                <w:szCs w:val="20"/>
                <w:lang w:eastAsia="es-CL"/>
              </w:rPr>
              <w:t>PROVIDENCIA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GUARDIA VIEJA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hideMark/>
          </w:tcPr>
          <w:p w:rsidR="00795F83" w:rsidRDefault="00795F83" w:rsidP="00125F0A">
            <w:pPr>
              <w:jc w:val="center"/>
            </w:pPr>
            <w:r w:rsidRPr="006C7499">
              <w:rPr>
                <w:rFonts w:cs="Times New Roman"/>
                <w:szCs w:val="20"/>
                <w:lang w:eastAsia="es-CL"/>
              </w:rPr>
              <w:t>PROVIDENCIA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RICARDO LYON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hideMark/>
          </w:tcPr>
          <w:p w:rsidR="00795F83" w:rsidRDefault="00795F83" w:rsidP="00125F0A">
            <w:pPr>
              <w:jc w:val="center"/>
            </w:pPr>
            <w:r w:rsidRPr="006C7499">
              <w:rPr>
                <w:rFonts w:cs="Times New Roman"/>
                <w:szCs w:val="20"/>
                <w:lang w:eastAsia="es-CL"/>
              </w:rPr>
              <w:t>PROVIDENCIA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 xml:space="preserve">SANTA LUCIA 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Concesionaria Subterra dos.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 xml:space="preserve">CATEDRAL 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CONCEPCIÓN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Concesionaria Estacionamientos Paseo Bulnes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BULNES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Concesionaria Plaza Mekis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 w:rsidRPr="00795F83">
              <w:rPr>
                <w:rFonts w:cs="Times New Roman"/>
                <w:szCs w:val="20"/>
                <w:lang w:eastAsia="es-CL"/>
              </w:rPr>
              <w:t>PLAZA MEKIS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Park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PLAZA DE ARMAS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Park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BELLAVISTA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VALPARAÍSO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SANTA ROSA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Saba Park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PLAZA DE TRIBUNALES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 xml:space="preserve">Concesión Municipal </w:t>
            </w:r>
            <w:r w:rsidRPr="002939BF">
              <w:rPr>
                <w:rFonts w:cs="Times New Roman"/>
                <w:szCs w:val="20"/>
                <w:lang w:eastAsia="es-CL"/>
              </w:rPr>
              <w:lastRenderedPageBreak/>
              <w:t>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lastRenderedPageBreak/>
              <w:t>CONCEPCIÓN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lastRenderedPageBreak/>
              <w:t>Saba Estacionamientos de Chile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PARQUE FORESTAL</w:t>
            </w:r>
          </w:p>
        </w:tc>
        <w:tc>
          <w:tcPr>
            <w:tcW w:w="2291" w:type="dxa"/>
            <w:shd w:val="clear" w:color="auto" w:fill="FFFFFF"/>
            <w:noWrap/>
            <w:hideMark/>
          </w:tcPr>
          <w:p w:rsidR="00795F83" w:rsidRDefault="00795F83" w:rsidP="00795F83">
            <w:pPr>
              <w:jc w:val="center"/>
            </w:pPr>
            <w:r w:rsidRPr="002939BF">
              <w:rPr>
                <w:rFonts w:cs="Times New Roman"/>
                <w:szCs w:val="20"/>
                <w:lang w:eastAsia="es-CL"/>
              </w:rPr>
              <w:t>Concesión Municipal Subsuelo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  <w:tr w:rsidR="00795F83" w:rsidTr="00795F83">
        <w:trPr>
          <w:trHeight w:val="300"/>
        </w:trPr>
        <w:tc>
          <w:tcPr>
            <w:tcW w:w="2293" w:type="dxa"/>
            <w:shd w:val="clear" w:color="auto" w:fill="FFFFFF"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Sociedad Concesionaria Plaza de la Ciudadanía S.A.</w:t>
            </w:r>
          </w:p>
        </w:tc>
        <w:tc>
          <w:tcPr>
            <w:tcW w:w="3238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PLAZA DE LA CIUDADANÍA</w:t>
            </w:r>
          </w:p>
        </w:tc>
        <w:tc>
          <w:tcPr>
            <w:tcW w:w="2291" w:type="dxa"/>
            <w:shd w:val="clear" w:color="auto" w:fill="FFFFFF"/>
            <w:noWrap/>
            <w:vAlign w:val="bottom"/>
            <w:hideMark/>
          </w:tcPr>
          <w:p w:rsidR="00795F83" w:rsidRDefault="00795F83" w:rsidP="00795F83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Concesión Obra Pública Fiscal</w:t>
            </w:r>
          </w:p>
        </w:tc>
        <w:tc>
          <w:tcPr>
            <w:tcW w:w="1633" w:type="dxa"/>
            <w:shd w:val="clear" w:color="auto" w:fill="FFFFFF"/>
            <w:noWrap/>
            <w:vAlign w:val="bottom"/>
            <w:hideMark/>
          </w:tcPr>
          <w:p w:rsidR="00795F83" w:rsidRDefault="00795F83" w:rsidP="00125F0A">
            <w:pPr>
              <w:jc w:val="center"/>
              <w:rPr>
                <w:rFonts w:cs="Times New Roman"/>
                <w:szCs w:val="20"/>
                <w:lang w:eastAsia="es-CL"/>
              </w:rPr>
            </w:pPr>
            <w:r>
              <w:rPr>
                <w:rFonts w:cs="Times New Roman"/>
                <w:szCs w:val="20"/>
                <w:lang w:eastAsia="es-CL"/>
              </w:rPr>
              <w:t>SANTIAGO</w:t>
            </w:r>
          </w:p>
        </w:tc>
      </w:tr>
    </w:tbl>
    <w:p w:rsidR="00C53E17" w:rsidRPr="00C90E3F" w:rsidRDefault="00C53E17" w:rsidP="00C4126F">
      <w:pPr>
        <w:spacing w:after="120"/>
        <w:rPr>
          <w:sz w:val="24"/>
          <w:szCs w:val="24"/>
          <w:lang w:val="es-ES"/>
        </w:rPr>
      </w:pPr>
    </w:p>
    <w:p w:rsidR="00C53E17" w:rsidRPr="00C90E3F" w:rsidRDefault="00C53E17" w:rsidP="00C4126F">
      <w:pPr>
        <w:spacing w:after="120"/>
        <w:jc w:val="center"/>
        <w:rPr>
          <w:b/>
          <w:caps/>
          <w:sz w:val="24"/>
          <w:szCs w:val="24"/>
        </w:rPr>
      </w:pPr>
      <w:r w:rsidRPr="00C90E3F">
        <w:rPr>
          <w:b/>
          <w:caps/>
          <w:sz w:val="24"/>
          <w:szCs w:val="24"/>
        </w:rPr>
        <w:t>ANEXO</w:t>
      </w:r>
      <w:r w:rsidR="00E75E43" w:rsidRPr="00C90E3F">
        <w:rPr>
          <w:b/>
          <w:caps/>
          <w:sz w:val="24"/>
          <w:szCs w:val="24"/>
        </w:rPr>
        <w:t xml:space="preserve"> 2</w:t>
      </w:r>
      <w:r w:rsidRPr="00C90E3F">
        <w:rPr>
          <w:b/>
          <w:caps/>
          <w:sz w:val="24"/>
          <w:szCs w:val="24"/>
        </w:rPr>
        <w:t>. Modelo de formulario de desistimiento</w:t>
      </w:r>
    </w:p>
    <w:p w:rsidR="001939FD" w:rsidRPr="00C90E3F" w:rsidRDefault="001939FD" w:rsidP="00C4126F">
      <w:pPr>
        <w:spacing w:after="120"/>
        <w:jc w:val="center"/>
        <w:rPr>
          <w:b/>
          <w:caps/>
          <w:sz w:val="24"/>
          <w:szCs w:val="24"/>
        </w:rPr>
      </w:pPr>
    </w:p>
    <w:p w:rsidR="00C53E17" w:rsidRPr="00C90E3F" w:rsidRDefault="00C53E17" w:rsidP="00C4126F">
      <w:pPr>
        <w:spacing w:after="120"/>
        <w:jc w:val="both"/>
        <w:rPr>
          <w:sz w:val="24"/>
          <w:szCs w:val="24"/>
        </w:rPr>
      </w:pPr>
      <w:r w:rsidRPr="00C90E3F">
        <w:rPr>
          <w:sz w:val="24"/>
          <w:szCs w:val="24"/>
        </w:rPr>
        <w:t>(</w:t>
      </w:r>
      <w:proofErr w:type="gramStart"/>
      <w:r w:rsidRPr="00C90E3F">
        <w:rPr>
          <w:i/>
          <w:sz w:val="24"/>
          <w:szCs w:val="24"/>
        </w:rPr>
        <w:t>sólo</w:t>
      </w:r>
      <w:proofErr w:type="gramEnd"/>
      <w:r w:rsidRPr="00C90E3F">
        <w:rPr>
          <w:i/>
          <w:sz w:val="24"/>
          <w:szCs w:val="24"/>
        </w:rPr>
        <w:t xml:space="preserve"> debe cumplimentar y enviar el presente formulario si desea desistir del contrato</w:t>
      </w:r>
      <w:r w:rsidRPr="00C90E3F">
        <w:rPr>
          <w:sz w:val="24"/>
          <w:szCs w:val="24"/>
        </w:rPr>
        <w:t xml:space="preserve">) </w:t>
      </w:r>
    </w:p>
    <w:p w:rsidR="00CA7BA2" w:rsidRPr="002E1A27" w:rsidRDefault="002E1A27" w:rsidP="002E1A27">
      <w:pPr>
        <w:pStyle w:val="Prrafodelista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Dirigido a :</w:t>
      </w:r>
      <w:r w:rsidRPr="002E1A27">
        <w:rPr>
          <w:sz w:val="24"/>
          <w:szCs w:val="24"/>
        </w:rPr>
        <w:t xml:space="preserve"> </w:t>
      </w:r>
      <w:r w:rsidR="00CA7BA2" w:rsidRPr="002E1A27">
        <w:rPr>
          <w:sz w:val="24"/>
          <w:szCs w:val="24"/>
        </w:rPr>
        <w:t>[NOMBRE EMPRESA SABA]</w:t>
      </w:r>
      <w:r w:rsidR="00C53E17" w:rsidRPr="002E1A27">
        <w:rPr>
          <w:sz w:val="24"/>
          <w:szCs w:val="24"/>
        </w:rPr>
        <w:t xml:space="preserve"> </w:t>
      </w:r>
    </w:p>
    <w:p w:rsidR="002E1A27" w:rsidRPr="002E1A27" w:rsidRDefault="002E1A27" w:rsidP="00C4126F">
      <w:pPr>
        <w:pStyle w:val="Prrafodelista"/>
        <w:numPr>
          <w:ilvl w:val="0"/>
          <w:numId w:val="17"/>
        </w:numPr>
        <w:spacing w:after="120"/>
        <w:jc w:val="both"/>
        <w:rPr>
          <w:i/>
          <w:sz w:val="24"/>
          <w:szCs w:val="24"/>
        </w:rPr>
      </w:pPr>
      <w:r w:rsidRPr="002E1A27">
        <w:rPr>
          <w:sz w:val="24"/>
          <w:szCs w:val="24"/>
        </w:rPr>
        <w:t>Domicilio: Apoquindo N° 5400, Oficina 1301 Norte. Las Condes, Santiago</w:t>
      </w:r>
      <w:r>
        <w:rPr>
          <w:sz w:val="24"/>
          <w:szCs w:val="24"/>
        </w:rPr>
        <w:t>.</w:t>
      </w:r>
    </w:p>
    <w:p w:rsidR="002E1A27" w:rsidRPr="002E1A27" w:rsidRDefault="00CA7BA2" w:rsidP="00C4126F">
      <w:pPr>
        <w:pStyle w:val="Prrafodelista"/>
        <w:numPr>
          <w:ilvl w:val="0"/>
          <w:numId w:val="17"/>
        </w:numPr>
        <w:spacing w:after="120"/>
        <w:jc w:val="both"/>
        <w:rPr>
          <w:i/>
          <w:sz w:val="24"/>
          <w:szCs w:val="24"/>
        </w:rPr>
      </w:pPr>
      <w:r w:rsidRPr="002E1A27">
        <w:rPr>
          <w:i/>
          <w:sz w:val="24"/>
          <w:szCs w:val="24"/>
        </w:rPr>
        <w:t>D</w:t>
      </w:r>
      <w:r w:rsidR="00C53E17" w:rsidRPr="002E1A27">
        <w:rPr>
          <w:i/>
          <w:sz w:val="24"/>
          <w:szCs w:val="24"/>
        </w:rPr>
        <w:t>irección de correo electrónico</w:t>
      </w:r>
      <w:r w:rsidR="00C53E17" w:rsidRPr="002E1A27">
        <w:rPr>
          <w:sz w:val="24"/>
          <w:szCs w:val="24"/>
        </w:rPr>
        <w:t>:</w:t>
      </w:r>
      <w:r w:rsidR="002E1A27" w:rsidRPr="002E1A27">
        <w:rPr>
          <w:sz w:val="24"/>
          <w:szCs w:val="24"/>
        </w:rPr>
        <w:t xml:space="preserve"> </w:t>
      </w:r>
      <w:hyperlink r:id="rId8" w:history="1">
        <w:r w:rsidR="002E1A27" w:rsidRPr="00205178">
          <w:rPr>
            <w:rStyle w:val="Hipervnculo"/>
            <w:sz w:val="24"/>
            <w:szCs w:val="24"/>
          </w:rPr>
          <w:t>ventas@saba-chile.cl</w:t>
        </w:r>
      </w:hyperlink>
    </w:p>
    <w:p w:rsidR="00C53E17" w:rsidRPr="002E1A27" w:rsidRDefault="00C53E17" w:rsidP="00C4126F">
      <w:pPr>
        <w:pStyle w:val="Prrafodelista"/>
        <w:numPr>
          <w:ilvl w:val="0"/>
          <w:numId w:val="17"/>
        </w:numPr>
        <w:spacing w:after="120"/>
        <w:jc w:val="both"/>
        <w:rPr>
          <w:i/>
          <w:sz w:val="24"/>
          <w:szCs w:val="24"/>
        </w:rPr>
      </w:pPr>
      <w:r w:rsidRPr="002E1A27">
        <w:rPr>
          <w:sz w:val="24"/>
          <w:szCs w:val="24"/>
        </w:rPr>
        <w:t>Por la presente comunico/comunicamos</w:t>
      </w:r>
      <w:r w:rsidR="002E1A27" w:rsidRPr="002E1A27">
        <w:rPr>
          <w:sz w:val="24"/>
          <w:szCs w:val="24"/>
        </w:rPr>
        <w:t xml:space="preserve"> que </w:t>
      </w:r>
      <w:r w:rsidR="002E1A27">
        <w:rPr>
          <w:sz w:val="24"/>
          <w:szCs w:val="24"/>
        </w:rPr>
        <w:t>[nombre persona natural o jurídica]</w:t>
      </w:r>
      <w:r w:rsidR="002E1A27" w:rsidRPr="002E1A27">
        <w:rPr>
          <w:sz w:val="24"/>
          <w:szCs w:val="24"/>
        </w:rPr>
        <w:t xml:space="preserve"> </w:t>
      </w:r>
      <w:r w:rsidR="002E1A27">
        <w:rPr>
          <w:sz w:val="24"/>
          <w:szCs w:val="24"/>
        </w:rPr>
        <w:t xml:space="preserve">desisto/desiste del </w:t>
      </w:r>
      <w:r w:rsidRPr="002E1A27">
        <w:rPr>
          <w:sz w:val="24"/>
          <w:szCs w:val="24"/>
        </w:rPr>
        <w:t xml:space="preserve">contrato </w:t>
      </w:r>
      <w:r w:rsidR="002E1A27">
        <w:rPr>
          <w:sz w:val="24"/>
          <w:szCs w:val="24"/>
        </w:rPr>
        <w:t xml:space="preserve">suscrito con su empresa para la </w:t>
      </w:r>
      <w:r w:rsidR="00CA7BA2" w:rsidRPr="002E1A27">
        <w:rPr>
          <w:sz w:val="24"/>
          <w:szCs w:val="24"/>
        </w:rPr>
        <w:t>compra</w:t>
      </w:r>
      <w:r w:rsidRPr="002E1A27">
        <w:rPr>
          <w:sz w:val="24"/>
          <w:szCs w:val="24"/>
        </w:rPr>
        <w:t xml:space="preserve"> del servicio</w:t>
      </w:r>
      <w:r w:rsidR="002E1A27">
        <w:rPr>
          <w:sz w:val="24"/>
          <w:szCs w:val="24"/>
        </w:rPr>
        <w:t xml:space="preserve"> de</w:t>
      </w:r>
      <w:r w:rsidRPr="002E1A27">
        <w:rPr>
          <w:sz w:val="24"/>
          <w:szCs w:val="24"/>
        </w:rPr>
        <w:t xml:space="preserve"> (*) </w:t>
      </w:r>
    </w:p>
    <w:p w:rsidR="002E1A27" w:rsidRDefault="00CA7BA2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C90E3F">
        <w:rPr>
          <w:sz w:val="24"/>
          <w:szCs w:val="24"/>
        </w:rPr>
        <w:t xml:space="preserve">Número de </w:t>
      </w:r>
      <w:r w:rsidR="002E1A27">
        <w:rPr>
          <w:sz w:val="24"/>
          <w:szCs w:val="24"/>
        </w:rPr>
        <w:t>Celular:</w:t>
      </w:r>
    </w:p>
    <w:p w:rsidR="002E1A27" w:rsidRDefault="00C53E17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E1A27">
        <w:rPr>
          <w:sz w:val="24"/>
          <w:szCs w:val="24"/>
        </w:rPr>
        <w:t xml:space="preserve">Pedido el/recibido el </w:t>
      </w:r>
      <w:r w:rsidR="002E1A27">
        <w:rPr>
          <w:sz w:val="24"/>
          <w:szCs w:val="24"/>
        </w:rPr>
        <w:t>[INDICAR FECHA]</w:t>
      </w:r>
    </w:p>
    <w:p w:rsidR="002E1A27" w:rsidRDefault="00C53E17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E1A27">
        <w:rPr>
          <w:sz w:val="24"/>
          <w:szCs w:val="24"/>
        </w:rPr>
        <w:t>Nombre del consumidor y usuario o de los consumidores y usuarios:</w:t>
      </w:r>
      <w:r w:rsidR="00CA7BA2" w:rsidRPr="002E1A27">
        <w:rPr>
          <w:sz w:val="24"/>
          <w:szCs w:val="24"/>
        </w:rPr>
        <w:t xml:space="preserve"> </w:t>
      </w:r>
      <w:r w:rsidR="002E1A27">
        <w:rPr>
          <w:sz w:val="24"/>
          <w:szCs w:val="24"/>
        </w:rPr>
        <w:t>[INDICAR NOMBRES]</w:t>
      </w:r>
    </w:p>
    <w:p w:rsidR="002E1A27" w:rsidRDefault="00C53E17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E1A27">
        <w:rPr>
          <w:sz w:val="24"/>
          <w:szCs w:val="24"/>
        </w:rPr>
        <w:t>Domicilio del consumidor y usuario o de los consumidores y usuarios:</w:t>
      </w:r>
      <w:r w:rsidR="00CA7BA2" w:rsidRPr="002E1A27">
        <w:rPr>
          <w:sz w:val="24"/>
          <w:szCs w:val="24"/>
        </w:rPr>
        <w:t xml:space="preserve"> </w:t>
      </w:r>
      <w:r w:rsidR="002E1A27">
        <w:rPr>
          <w:sz w:val="24"/>
          <w:szCs w:val="24"/>
        </w:rPr>
        <w:t>[INDICAR NOMBRES]</w:t>
      </w:r>
    </w:p>
    <w:p w:rsidR="002E1A27" w:rsidRDefault="00C53E17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E1A27">
        <w:rPr>
          <w:sz w:val="24"/>
          <w:szCs w:val="24"/>
        </w:rPr>
        <w:t>Firma del consumidor y usuario o de los consumidores y usuarios (</w:t>
      </w:r>
      <w:r w:rsidRPr="002E1A27">
        <w:rPr>
          <w:i/>
          <w:sz w:val="24"/>
          <w:szCs w:val="24"/>
        </w:rPr>
        <w:t>solo si el presente formulario se presenta en papel</w:t>
      </w:r>
      <w:r w:rsidRPr="002E1A27">
        <w:rPr>
          <w:sz w:val="24"/>
          <w:szCs w:val="24"/>
        </w:rPr>
        <w:t xml:space="preserve">) </w:t>
      </w:r>
    </w:p>
    <w:p w:rsidR="00C53E17" w:rsidRPr="002E1A27" w:rsidRDefault="00C53E17" w:rsidP="00C4126F">
      <w:pPr>
        <w:pStyle w:val="Prrafodelista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2E1A27">
        <w:rPr>
          <w:sz w:val="24"/>
          <w:szCs w:val="24"/>
        </w:rPr>
        <w:t>Fecha</w:t>
      </w:r>
      <w:r w:rsidR="002E1A27">
        <w:rPr>
          <w:sz w:val="24"/>
          <w:szCs w:val="24"/>
        </w:rPr>
        <w:t>:</w:t>
      </w:r>
      <w:r w:rsidRPr="002E1A27">
        <w:rPr>
          <w:sz w:val="24"/>
          <w:szCs w:val="24"/>
        </w:rPr>
        <w:t xml:space="preserve"> </w:t>
      </w:r>
      <w:r w:rsidR="002E1A27">
        <w:rPr>
          <w:sz w:val="24"/>
          <w:szCs w:val="24"/>
        </w:rPr>
        <w:t>[INDICAR FECHA]</w:t>
      </w:r>
    </w:p>
    <w:p w:rsidR="00C53E17" w:rsidRPr="00C90E3F" w:rsidRDefault="00C53E17" w:rsidP="00C4126F">
      <w:pPr>
        <w:spacing w:after="120"/>
        <w:jc w:val="both"/>
        <w:rPr>
          <w:sz w:val="24"/>
          <w:szCs w:val="24"/>
        </w:rPr>
      </w:pPr>
    </w:p>
    <w:sectPr w:rsidR="00C53E17" w:rsidRPr="00C90E3F" w:rsidSect="00AA007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CADBA" w15:done="0"/>
  <w15:commentEx w15:paraId="4ACE7F22" w15:paraIdParent="3D1CADBA" w15:done="0"/>
  <w15:commentEx w15:paraId="10417F61" w15:done="0"/>
  <w15:commentEx w15:paraId="46E43585" w15:done="0"/>
  <w15:commentEx w15:paraId="61E1F616" w15:done="0"/>
  <w15:commentEx w15:paraId="34AA8C26" w15:paraIdParent="61E1F61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42" w:rsidRDefault="00DA1442" w:rsidP="00401540">
      <w:pPr>
        <w:spacing w:after="0" w:line="240" w:lineRule="auto"/>
      </w:pPr>
      <w:r>
        <w:separator/>
      </w:r>
    </w:p>
  </w:endnote>
  <w:endnote w:type="continuationSeparator" w:id="0">
    <w:p w:rsidR="00DA1442" w:rsidRDefault="00DA1442" w:rsidP="004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5863"/>
      <w:docPartObj>
        <w:docPartGallery w:val="Page Numbers (Bottom of Page)"/>
        <w:docPartUnique/>
      </w:docPartObj>
    </w:sdtPr>
    <w:sdtContent>
      <w:p w:rsidR="006C4CE0" w:rsidRDefault="00026CB5">
        <w:pPr>
          <w:pStyle w:val="Piedepgina"/>
          <w:jc w:val="right"/>
        </w:pPr>
        <w:fldSimple w:instr=" PAGE   \* MERGEFORMAT ">
          <w:r w:rsidR="00D07871">
            <w:rPr>
              <w:noProof/>
            </w:rPr>
            <w:t>9</w:t>
          </w:r>
        </w:fldSimple>
      </w:p>
    </w:sdtContent>
  </w:sdt>
  <w:p w:rsidR="006C4CE0" w:rsidRDefault="006C4C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42" w:rsidRDefault="00DA1442" w:rsidP="00401540">
      <w:pPr>
        <w:spacing w:after="0" w:line="240" w:lineRule="auto"/>
      </w:pPr>
      <w:r>
        <w:separator/>
      </w:r>
    </w:p>
  </w:footnote>
  <w:footnote w:type="continuationSeparator" w:id="0">
    <w:p w:rsidR="00DA1442" w:rsidRDefault="00DA1442" w:rsidP="0040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E0" w:rsidRDefault="006C4CE0">
    <w:pPr>
      <w:pStyle w:val="Encabezado"/>
      <w:jc w:val="right"/>
    </w:pPr>
  </w:p>
  <w:p w:rsidR="006C4CE0" w:rsidRDefault="006C4C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D1"/>
    <w:multiLevelType w:val="hybridMultilevel"/>
    <w:tmpl w:val="E97CB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54C"/>
    <w:multiLevelType w:val="hybridMultilevel"/>
    <w:tmpl w:val="F01E4D98"/>
    <w:lvl w:ilvl="0" w:tplc="E9F035F8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358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44EE0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610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96E8A"/>
    <w:multiLevelType w:val="hybridMultilevel"/>
    <w:tmpl w:val="BDBC48E4"/>
    <w:lvl w:ilvl="0" w:tplc="B82E6A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21C5D"/>
    <w:multiLevelType w:val="hybridMultilevel"/>
    <w:tmpl w:val="49A83DB4"/>
    <w:lvl w:ilvl="0" w:tplc="9FE21F7C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D20D8"/>
    <w:multiLevelType w:val="hybridMultilevel"/>
    <w:tmpl w:val="755EFA30"/>
    <w:lvl w:ilvl="0" w:tplc="85F693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3397"/>
    <w:multiLevelType w:val="hybridMultilevel"/>
    <w:tmpl w:val="55DA13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C72B57"/>
    <w:multiLevelType w:val="hybridMultilevel"/>
    <w:tmpl w:val="E9027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371D"/>
    <w:multiLevelType w:val="hybridMultilevel"/>
    <w:tmpl w:val="2918CC1C"/>
    <w:lvl w:ilvl="0" w:tplc="75745D2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68DF"/>
    <w:multiLevelType w:val="hybridMultilevel"/>
    <w:tmpl w:val="F08E3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5414F"/>
    <w:multiLevelType w:val="hybridMultilevel"/>
    <w:tmpl w:val="F2A42DE0"/>
    <w:lvl w:ilvl="0" w:tplc="6F58F1E2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90EC0"/>
    <w:multiLevelType w:val="hybridMultilevel"/>
    <w:tmpl w:val="A7329EBC"/>
    <w:lvl w:ilvl="0" w:tplc="0E227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2215"/>
    <w:multiLevelType w:val="hybridMultilevel"/>
    <w:tmpl w:val="716A61FC"/>
    <w:lvl w:ilvl="0" w:tplc="8DC4FC9C">
      <w:start w:val="1"/>
      <w:numFmt w:val="bullet"/>
      <w:lvlText w:val="-"/>
      <w:lvlJc w:val="left"/>
      <w:pPr>
        <w:ind w:left="786" w:hanging="360"/>
      </w:pPr>
      <w:rPr>
        <w:rFonts w:ascii="Georgia" w:hAnsi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24951A9"/>
    <w:multiLevelType w:val="hybridMultilevel"/>
    <w:tmpl w:val="1E6C961C"/>
    <w:lvl w:ilvl="0" w:tplc="9BC43C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0265E3"/>
    <w:multiLevelType w:val="hybridMultilevel"/>
    <w:tmpl w:val="905EDA44"/>
    <w:lvl w:ilvl="0" w:tplc="AF2CAD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543AC"/>
    <w:multiLevelType w:val="hybridMultilevel"/>
    <w:tmpl w:val="A086B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wC">
    <w15:presenceInfo w15:providerId="None" w15:userId="Pw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D4"/>
    <w:rsid w:val="00022CA9"/>
    <w:rsid w:val="00026CB5"/>
    <w:rsid w:val="00054DC9"/>
    <w:rsid w:val="000577A8"/>
    <w:rsid w:val="00066711"/>
    <w:rsid w:val="00074EB0"/>
    <w:rsid w:val="00075DC8"/>
    <w:rsid w:val="0008224E"/>
    <w:rsid w:val="000920E2"/>
    <w:rsid w:val="00094C52"/>
    <w:rsid w:val="000A17DF"/>
    <w:rsid w:val="000A7428"/>
    <w:rsid w:val="000C36EA"/>
    <w:rsid w:val="0011089B"/>
    <w:rsid w:val="00111D49"/>
    <w:rsid w:val="00125291"/>
    <w:rsid w:val="001318CB"/>
    <w:rsid w:val="0013305E"/>
    <w:rsid w:val="0014482A"/>
    <w:rsid w:val="001509EC"/>
    <w:rsid w:val="00156C33"/>
    <w:rsid w:val="0015742D"/>
    <w:rsid w:val="001926DB"/>
    <w:rsid w:val="001939FD"/>
    <w:rsid w:val="001B120D"/>
    <w:rsid w:val="001B6912"/>
    <w:rsid w:val="001C3CFE"/>
    <w:rsid w:val="001D18ED"/>
    <w:rsid w:val="001F0959"/>
    <w:rsid w:val="001F0C80"/>
    <w:rsid w:val="001F5286"/>
    <w:rsid w:val="0020390A"/>
    <w:rsid w:val="002118E1"/>
    <w:rsid w:val="00220490"/>
    <w:rsid w:val="00232ECD"/>
    <w:rsid w:val="0023373E"/>
    <w:rsid w:val="00265086"/>
    <w:rsid w:val="00285B9C"/>
    <w:rsid w:val="0028762E"/>
    <w:rsid w:val="002A16DC"/>
    <w:rsid w:val="002A28F3"/>
    <w:rsid w:val="002C11D0"/>
    <w:rsid w:val="002C4A29"/>
    <w:rsid w:val="002C7CF4"/>
    <w:rsid w:val="002E1A27"/>
    <w:rsid w:val="002F3E16"/>
    <w:rsid w:val="002F7281"/>
    <w:rsid w:val="00315742"/>
    <w:rsid w:val="0031711F"/>
    <w:rsid w:val="00332E64"/>
    <w:rsid w:val="0033681F"/>
    <w:rsid w:val="00346AC0"/>
    <w:rsid w:val="0034787E"/>
    <w:rsid w:val="00350574"/>
    <w:rsid w:val="003505F0"/>
    <w:rsid w:val="00352858"/>
    <w:rsid w:val="00394417"/>
    <w:rsid w:val="003C5769"/>
    <w:rsid w:val="003E5F16"/>
    <w:rsid w:val="00401540"/>
    <w:rsid w:val="00401A2E"/>
    <w:rsid w:val="00404FEE"/>
    <w:rsid w:val="0041764D"/>
    <w:rsid w:val="00431338"/>
    <w:rsid w:val="00443D2D"/>
    <w:rsid w:val="004445A6"/>
    <w:rsid w:val="00452539"/>
    <w:rsid w:val="00461A4A"/>
    <w:rsid w:val="00465468"/>
    <w:rsid w:val="004802D0"/>
    <w:rsid w:val="00490D51"/>
    <w:rsid w:val="00497E90"/>
    <w:rsid w:val="004B0865"/>
    <w:rsid w:val="004E7B20"/>
    <w:rsid w:val="004F1F39"/>
    <w:rsid w:val="005108D3"/>
    <w:rsid w:val="0051266C"/>
    <w:rsid w:val="00515A04"/>
    <w:rsid w:val="005269F1"/>
    <w:rsid w:val="00527C00"/>
    <w:rsid w:val="005309B8"/>
    <w:rsid w:val="00531477"/>
    <w:rsid w:val="00535B14"/>
    <w:rsid w:val="00560A01"/>
    <w:rsid w:val="00576481"/>
    <w:rsid w:val="0059114D"/>
    <w:rsid w:val="005919B4"/>
    <w:rsid w:val="005A5A7E"/>
    <w:rsid w:val="005B1A05"/>
    <w:rsid w:val="005B415A"/>
    <w:rsid w:val="005B5622"/>
    <w:rsid w:val="005C3D11"/>
    <w:rsid w:val="005D092A"/>
    <w:rsid w:val="005D2A3D"/>
    <w:rsid w:val="005D5265"/>
    <w:rsid w:val="005F3211"/>
    <w:rsid w:val="00605DB2"/>
    <w:rsid w:val="00621D01"/>
    <w:rsid w:val="00633FD5"/>
    <w:rsid w:val="0064712A"/>
    <w:rsid w:val="006640D4"/>
    <w:rsid w:val="00674531"/>
    <w:rsid w:val="00687F68"/>
    <w:rsid w:val="006A5AD3"/>
    <w:rsid w:val="006B3D3D"/>
    <w:rsid w:val="006C3321"/>
    <w:rsid w:val="006C4CE0"/>
    <w:rsid w:val="006C51DC"/>
    <w:rsid w:val="006C6BB0"/>
    <w:rsid w:val="006D08FB"/>
    <w:rsid w:val="006D5DD2"/>
    <w:rsid w:val="006E4326"/>
    <w:rsid w:val="00703968"/>
    <w:rsid w:val="00753BCB"/>
    <w:rsid w:val="00770585"/>
    <w:rsid w:val="00772CFC"/>
    <w:rsid w:val="0077540C"/>
    <w:rsid w:val="00776698"/>
    <w:rsid w:val="007831F5"/>
    <w:rsid w:val="00790CEB"/>
    <w:rsid w:val="007923A2"/>
    <w:rsid w:val="00792CE1"/>
    <w:rsid w:val="007931A8"/>
    <w:rsid w:val="00795F83"/>
    <w:rsid w:val="007B2C85"/>
    <w:rsid w:val="007E782E"/>
    <w:rsid w:val="00810F59"/>
    <w:rsid w:val="00811DCC"/>
    <w:rsid w:val="00823CF1"/>
    <w:rsid w:val="008279E0"/>
    <w:rsid w:val="00857EE2"/>
    <w:rsid w:val="00861B99"/>
    <w:rsid w:val="00867DC2"/>
    <w:rsid w:val="00882719"/>
    <w:rsid w:val="00883853"/>
    <w:rsid w:val="008B37B2"/>
    <w:rsid w:val="008D21FF"/>
    <w:rsid w:val="008D6842"/>
    <w:rsid w:val="008E38BB"/>
    <w:rsid w:val="008E49EB"/>
    <w:rsid w:val="00964A3F"/>
    <w:rsid w:val="0099342F"/>
    <w:rsid w:val="009939B3"/>
    <w:rsid w:val="009A11F6"/>
    <w:rsid w:val="009A6095"/>
    <w:rsid w:val="009A6736"/>
    <w:rsid w:val="009B6FCA"/>
    <w:rsid w:val="009D1641"/>
    <w:rsid w:val="009D3BBE"/>
    <w:rsid w:val="009D6B40"/>
    <w:rsid w:val="009E2DFE"/>
    <w:rsid w:val="009E6C72"/>
    <w:rsid w:val="009F08FC"/>
    <w:rsid w:val="009F6620"/>
    <w:rsid w:val="00A02F30"/>
    <w:rsid w:val="00A07DAA"/>
    <w:rsid w:val="00A11DB5"/>
    <w:rsid w:val="00A147BE"/>
    <w:rsid w:val="00A22DCC"/>
    <w:rsid w:val="00A41661"/>
    <w:rsid w:val="00A61B74"/>
    <w:rsid w:val="00A636D6"/>
    <w:rsid w:val="00A80291"/>
    <w:rsid w:val="00A9274E"/>
    <w:rsid w:val="00A93823"/>
    <w:rsid w:val="00AA007F"/>
    <w:rsid w:val="00AB2F6B"/>
    <w:rsid w:val="00AB7AB5"/>
    <w:rsid w:val="00AC17C1"/>
    <w:rsid w:val="00AD7761"/>
    <w:rsid w:val="00AE3366"/>
    <w:rsid w:val="00AF2FEF"/>
    <w:rsid w:val="00B00B68"/>
    <w:rsid w:val="00B17A4D"/>
    <w:rsid w:val="00B25668"/>
    <w:rsid w:val="00B4792C"/>
    <w:rsid w:val="00B5168D"/>
    <w:rsid w:val="00B5193C"/>
    <w:rsid w:val="00B62105"/>
    <w:rsid w:val="00B65499"/>
    <w:rsid w:val="00B8030C"/>
    <w:rsid w:val="00B87624"/>
    <w:rsid w:val="00B91539"/>
    <w:rsid w:val="00B95CAE"/>
    <w:rsid w:val="00BA5C52"/>
    <w:rsid w:val="00BB109C"/>
    <w:rsid w:val="00BB4C00"/>
    <w:rsid w:val="00BB6B3B"/>
    <w:rsid w:val="00BC15C0"/>
    <w:rsid w:val="00BC4067"/>
    <w:rsid w:val="00BD5184"/>
    <w:rsid w:val="00BE236C"/>
    <w:rsid w:val="00BF0745"/>
    <w:rsid w:val="00BF37FA"/>
    <w:rsid w:val="00C06E8D"/>
    <w:rsid w:val="00C12616"/>
    <w:rsid w:val="00C207C2"/>
    <w:rsid w:val="00C23E64"/>
    <w:rsid w:val="00C25D9C"/>
    <w:rsid w:val="00C35AEE"/>
    <w:rsid w:val="00C4126F"/>
    <w:rsid w:val="00C53008"/>
    <w:rsid w:val="00C53E17"/>
    <w:rsid w:val="00C7335C"/>
    <w:rsid w:val="00C83E26"/>
    <w:rsid w:val="00C849C2"/>
    <w:rsid w:val="00C90E3F"/>
    <w:rsid w:val="00CA7A18"/>
    <w:rsid w:val="00CA7BA2"/>
    <w:rsid w:val="00CB1EB4"/>
    <w:rsid w:val="00CB50BA"/>
    <w:rsid w:val="00CC3262"/>
    <w:rsid w:val="00CD4DC4"/>
    <w:rsid w:val="00CD6CA4"/>
    <w:rsid w:val="00CE3EB4"/>
    <w:rsid w:val="00CE7E82"/>
    <w:rsid w:val="00D06DB1"/>
    <w:rsid w:val="00D07871"/>
    <w:rsid w:val="00D45676"/>
    <w:rsid w:val="00D462F2"/>
    <w:rsid w:val="00D463A5"/>
    <w:rsid w:val="00D55136"/>
    <w:rsid w:val="00D557C9"/>
    <w:rsid w:val="00D640B8"/>
    <w:rsid w:val="00D6570A"/>
    <w:rsid w:val="00D66DF7"/>
    <w:rsid w:val="00D74266"/>
    <w:rsid w:val="00D92458"/>
    <w:rsid w:val="00D94F22"/>
    <w:rsid w:val="00DA1442"/>
    <w:rsid w:val="00DA3782"/>
    <w:rsid w:val="00DB56A7"/>
    <w:rsid w:val="00DB6F78"/>
    <w:rsid w:val="00DC1C64"/>
    <w:rsid w:val="00DD0555"/>
    <w:rsid w:val="00DD5090"/>
    <w:rsid w:val="00DD60F8"/>
    <w:rsid w:val="00DE45EF"/>
    <w:rsid w:val="00DF18F6"/>
    <w:rsid w:val="00DF4101"/>
    <w:rsid w:val="00E0036E"/>
    <w:rsid w:val="00E13DA0"/>
    <w:rsid w:val="00E14FCE"/>
    <w:rsid w:val="00E257D6"/>
    <w:rsid w:val="00E5153D"/>
    <w:rsid w:val="00E63C34"/>
    <w:rsid w:val="00E71FB3"/>
    <w:rsid w:val="00E75E43"/>
    <w:rsid w:val="00E845D9"/>
    <w:rsid w:val="00EA5752"/>
    <w:rsid w:val="00ED7AEB"/>
    <w:rsid w:val="00EF49DA"/>
    <w:rsid w:val="00F03DF5"/>
    <w:rsid w:val="00F315C9"/>
    <w:rsid w:val="00F324E0"/>
    <w:rsid w:val="00F348D0"/>
    <w:rsid w:val="00F42854"/>
    <w:rsid w:val="00F46066"/>
    <w:rsid w:val="00F563DF"/>
    <w:rsid w:val="00F618C0"/>
    <w:rsid w:val="00F7315B"/>
    <w:rsid w:val="00F75621"/>
    <w:rsid w:val="00F77869"/>
    <w:rsid w:val="00F82B33"/>
    <w:rsid w:val="00F82E26"/>
    <w:rsid w:val="00F9604D"/>
    <w:rsid w:val="00FA2AAA"/>
    <w:rsid w:val="00FB4A60"/>
    <w:rsid w:val="00FD333C"/>
    <w:rsid w:val="00FD35E5"/>
    <w:rsid w:val="00FD5FC0"/>
    <w:rsid w:val="00FE141D"/>
    <w:rsid w:val="00FF21CD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D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4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41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F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D5DD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368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68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81F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8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81F"/>
    <w:rPr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8E49EB"/>
  </w:style>
  <w:style w:type="character" w:styleId="Hipervnculo">
    <w:name w:val="Hyperlink"/>
    <w:basedOn w:val="Fuentedeprrafopredeter"/>
    <w:uiPriority w:val="99"/>
    <w:unhideWhenUsed/>
    <w:rsid w:val="005269F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7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DD60F8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5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540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D4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1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F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D5DD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6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81F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1F"/>
    <w:rPr>
      <w:b/>
      <w:bCs/>
      <w:sz w:val="20"/>
      <w:szCs w:val="20"/>
      <w:lang w:val="es-ES_tradnl"/>
    </w:rPr>
  </w:style>
  <w:style w:type="character" w:customStyle="1" w:styleId="apple-converted-space">
    <w:name w:val="apple-converted-space"/>
    <w:basedOn w:val="DefaultParagraphFont"/>
    <w:rsid w:val="008E49EB"/>
  </w:style>
  <w:style w:type="character" w:styleId="Hyperlink">
    <w:name w:val="Hyperlink"/>
    <w:basedOn w:val="DefaultParagraphFont"/>
    <w:uiPriority w:val="99"/>
    <w:unhideWhenUsed/>
    <w:rsid w:val="005269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D60F8"/>
    <w:pPr>
      <w:spacing w:after="0" w:line="240" w:lineRule="auto"/>
    </w:pPr>
    <w:rPr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40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0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40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saba-chile.c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8CD1-F7F2-4585-A8BF-CDB54489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</dc:creator>
  <cp:lastModifiedBy>ecollins</cp:lastModifiedBy>
  <cp:revision>2</cp:revision>
  <cp:lastPrinted>2016-06-02T16:23:00Z</cp:lastPrinted>
  <dcterms:created xsi:type="dcterms:W3CDTF">2018-12-14T19:38:00Z</dcterms:created>
  <dcterms:modified xsi:type="dcterms:W3CDTF">2018-12-14T19:38:00Z</dcterms:modified>
</cp:coreProperties>
</file>